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EXPOSIÇÃO DE MOTIVOS</w:t>
      </w:r>
    </w:p>
    <w:p>
      <w:pPr>
        <w:pStyle w:val="Normal"/>
        <w:jc w:val="center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jc w:val="center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O presente Projeto de Lei Complementar propõe uma alteração na Lei Complementar nº 337, de 10 de janeiro de 1995, que cria o Conselho Municipal de Acesso à Terra e Habitação – COMATHAB –, e dá outras providências.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left"/>
        <w:rPr/>
      </w:pPr>
      <w:r>
        <w:rPr>
          <w:rFonts w:eastAsia="Calibri"/>
          <w:lang w:eastAsia="en-US"/>
        </w:rPr>
        <w:t>O Comathab tem por competência a participação direta da comunidade na gestão da política habitacional do Município e tem por finalidade propor e deliberar sobre diretrizes, planos e programas e fiscalizar a execução dessa política.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 xml:space="preserve">Nesse sentido, a União das Associações de Moradores de Porto Alegre (UAMPA), que existe há 37 anos, tem sua reputação consolidada ao longo dos anos devido à sua atuação junto às associações de moradores, realizando um trabalho de orientação e relacionamento com as comunidades. A </w:t>
      </w:r>
      <w:bookmarkStart w:id="0" w:name="__DdeLink__216_618593887"/>
      <w:r>
        <w:rPr>
          <w:rFonts w:eastAsia="Calibri"/>
          <w:lang w:eastAsia="en-US"/>
        </w:rPr>
        <w:t>UAMPA</w:t>
      </w:r>
      <w:bookmarkEnd w:id="0"/>
      <w:r>
        <w:rPr>
          <w:rFonts w:eastAsia="Calibri"/>
          <w:lang w:eastAsia="en-US"/>
        </w:rPr>
        <w:t xml:space="preserve"> é filiada à Aliança Internacional de Habitantes (AIH), na Confederação Nacional das Associações de Moradores </w:t>
      </w:r>
      <w:r>
        <w:rPr>
          <w:rFonts w:eastAsia="Calibri"/>
          <w:lang w:eastAsia="ar-SA"/>
        </w:rPr>
        <w:t>(Conam)</w:t>
      </w:r>
      <w:r>
        <w:rPr>
          <w:rFonts w:eastAsia="Calibri"/>
          <w:lang w:eastAsia="en-US"/>
        </w:rPr>
        <w:t xml:space="preserve"> e à Federação Gaúcha das Associações de Moradores (Fegam), e tem cerca de duzentas associações filiadas, com representações em todas as regiões da Cidade. A UAMPA participa de oito conselhos municipais que discutem a Cidade, e tem forte atuação na questão da habitação e da regularização fundiária.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 xml:space="preserve">Assim, creio necessária a inclusão da UAMPA no </w:t>
      </w:r>
      <w:r>
        <w:rPr>
          <w:rFonts w:eastAsia="Calibri"/>
          <w:b w:val="false"/>
          <w:i w:val="false"/>
          <w:caps w:val="false"/>
          <w:smallCaps w:val="false"/>
          <w:color w:val="000000"/>
          <w:spacing w:val="0"/>
          <w:sz w:val="28"/>
          <w:lang w:eastAsia="en-US"/>
        </w:rPr>
        <w:t>Comathab</w:t>
      </w:r>
      <w:r>
        <w:rPr>
          <w:rFonts w:eastAsia="Calibri"/>
          <w:lang w:eastAsia="en-US"/>
        </w:rPr>
        <w:t>, uma vez que, dessa maneira, se dará voz às associações de moradores da Cidade nas políticas de habitação e regularização imobiliária. É fundamental para a democracia e para o Poder Público Municipal que se escute e convide as representações populares dos moradores de Porto Alegre para o debate da cidade que queremos.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Sala das Sessões, 14 de janeiro de 2021.</w:t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jc w:val="center"/>
        <w:rPr/>
      </w:pPr>
      <w:r>
        <w:rPr>
          <w:rFonts w:eastAsia="Calibri"/>
          <w:lang w:eastAsia="en-US"/>
        </w:rPr>
        <w:t>VEREADORA BRUNA RODRIGUES</w:t>
      </w:r>
      <w:r>
        <w:br w:type="page"/>
      </w:r>
    </w:p>
    <w:p>
      <w:pPr>
        <w:pStyle w:val="Normal"/>
        <w:jc w:val="center"/>
        <w:rPr/>
      </w:pPr>
      <w:r>
        <w:rPr>
          <w:b/>
          <w:bCs/>
        </w:rPr>
        <w:t>PROJETO DE LEI COMPLEMENTAR</w:t>
      </w:r>
    </w:p>
    <w:p>
      <w:pPr>
        <w:pStyle w:val="Default"/>
        <w:jc w:val="center"/>
        <w:rPr>
          <w:bCs/>
        </w:rPr>
      </w:pPr>
      <w:r>
        <w:rPr>
          <w:bCs/>
        </w:rPr>
      </w:r>
    </w:p>
    <w:p>
      <w:pPr>
        <w:pStyle w:val="Default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4253" w:hanging="0"/>
        <w:jc w:val="both"/>
        <w:rPr/>
      </w:pPr>
      <w:bookmarkStart w:id="1" w:name="__DdeLink__26_1172895108"/>
      <w:r>
        <w:rPr>
          <w:b/>
        </w:rPr>
        <w:t xml:space="preserve">Altera o inc. II do </w:t>
      </w:r>
      <w:r>
        <w:rPr>
          <w:b/>
          <w:i/>
        </w:rPr>
        <w:t xml:space="preserve">caput </w:t>
      </w:r>
      <w:r>
        <w:rPr>
          <w:b/>
        </w:rPr>
        <w:t>do art. 3º da Lei Complementar nº 337</w:t>
      </w:r>
      <w:bookmarkEnd w:id="1"/>
      <w:r>
        <w:rPr>
          <w:b/>
        </w:rPr>
        <w:t>, de 10 de janeiro de 1995 – que cria o Conselho Municipal de Acesso à Terra e Habitação (COMATHAB), e dá outras providências –, incluindo um representante da União das Associações de Moradores de Porto Alegre (UAMPA) como membro nato na composição do Comathab.</w:t>
      </w:r>
    </w:p>
    <w:p>
      <w:pPr>
        <w:pStyle w:val="Normal"/>
        <w:tabs>
          <w:tab w:val="clear" w:pos="708"/>
          <w:tab w:val="left" w:pos="1400" w:leader="none"/>
        </w:tabs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 xml:space="preserve">Art. 1º  </w:t>
      </w:r>
      <w:r>
        <w:rPr/>
        <w:t xml:space="preserve">Fica alterado o inc. II do </w:t>
      </w:r>
      <w:r>
        <w:rPr>
          <w:i/>
        </w:rPr>
        <w:t xml:space="preserve">caput </w:t>
      </w:r>
      <w:r>
        <w:rPr/>
        <w:t>do art. 3º da Lei Complementar nº 337, de 10 de janeiro de 1995, conforme segue: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  <w:t>“</w:t>
      </w:r>
      <w:r>
        <w:rPr/>
        <w:t>Art. 3º  .....................................................................................................................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  <w:t>....................................................................................................................................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  <w:t>II – 9 (nove) representantes de entidades comunitária</w:t>
      </w:r>
      <w:bookmarkStart w:id="2" w:name="_GoBack"/>
      <w:bookmarkEnd w:id="2"/>
      <w:r>
        <w:rPr/>
        <w:t xml:space="preserve">s de moradores e de organizações populares de caráter comunitário, sendo 1 (um) representante da </w:t>
      </w:r>
      <w:r>
        <w:rPr>
          <w:rFonts w:eastAsia="Calibri"/>
          <w:lang w:eastAsia="en-US"/>
        </w:rPr>
        <w:t>União das Associações de Moradores de Porto Alegre (UAMPA), como</w:t>
      </w:r>
      <w:r>
        <w:rPr/>
        <w:t xml:space="preserve"> membro nato, e os demais 8 (oito) representantes eleitos em fóruns regionais, observadas as delimitações do processo de discussão do Orçamento Municipal; e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  <w:t>.........................................................................................................................” (NR)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 xml:space="preserve">Art. 2º  </w:t>
      </w:r>
      <w:r>
        <w:rPr/>
        <w:t>Esta Lei Complementar entra em vigor na data de sua publicação.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tabs>
          <w:tab w:val="left" w:pos="708" w:leader="none"/>
          <w:tab w:val="center" w:pos="4419" w:leader="none"/>
          <w:tab w:val="right" w:pos="8838" w:leader="none"/>
        </w:tabs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Default"/>
        <w:jc w:val="both"/>
        <w:rPr/>
      </w:pPr>
      <w:r>
        <w:rPr>
          <w:bCs/>
          <w:sz w:val="20"/>
          <w:szCs w:val="20"/>
        </w:rPr>
        <w:t>/JGF</w:t>
      </w:r>
    </w:p>
    <w:sectPr>
      <w:headerReference w:type="default" r:id="rId2"/>
      <w:type w:val="nextPage"/>
      <w:pgSz w:w="11906" w:h="16838"/>
      <w:pgMar w:left="1701" w:right="851" w:header="227" w:top="1134" w:footer="0" w:bottom="1021" w:gutter="0"/>
      <w:pgNumType w:start="2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b/>
        <w:b/>
        <w:bCs/>
      </w:rPr>
    </w:pPr>
    <w:r>
      <w:rPr>
        <w:b/>
        <w:bCs/>
      </w:rPr>
      <mc:AlternateContent>
        <mc:Choice Requires="wps">
          <w:drawing>
            <wp:anchor behindDoc="1" distT="0" distB="0" distL="0" distR="0" simplePos="0" locked="0" layoutInCell="1" allowOverlap="1" relativeHeight="3" wp14:anchorId="78AFC5FB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4925" cy="256540"/>
              <wp:effectExtent l="0" t="0" r="15875" b="16510"/>
              <wp:wrapNone/>
              <wp:docPr id="1" name="Retângul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4280" cy="25596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stroked="t" style="position:absolute;margin-left:366.4pt;margin-top:10.5pt;width:102.65pt;height:20.1pt" wp14:anchorId="78AFC5FB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>
    <w:pPr>
      <w:pStyle w:val="Cabealho"/>
      <w:jc w:val="right"/>
      <w:rPr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 PAGE 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  <w:r>
      <w:rPr>
        <w:b/>
        <w:bCs/>
      </w:rPr>
      <w:t>|__</w:t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/>
    </w:pPr>
    <w:r>
      <w:rPr>
        <w:b/>
        <w:bCs/>
      </w:rPr>
      <w:t>PROC. Nº   0061/21</w:t>
    </w:r>
  </w:p>
  <w:p>
    <w:pPr>
      <w:pStyle w:val="Cabealho"/>
      <w:jc w:val="right"/>
      <w:rPr/>
    </w:pPr>
    <w:r>
      <w:rPr>
        <w:b/>
        <w:bCs/>
      </w:rPr>
      <w:t>PLCL    Nº    002/21</w:t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</w:hdr>
</file>

<file path=word/settings.xml><?xml version="1.0" encoding="utf-8"?>
<w:settings xmlns:w="http://schemas.openxmlformats.org/wordprocessingml/2006/main">
  <w:zoom w:percent="130"/>
  <w:trackRevisio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widowControl w:val="false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 w:val="true"/>
      <w:widowControl w:val="false"/>
      <w:tabs>
        <w:tab w:val="clear" w:pos="708"/>
        <w:tab w:val="left" w:pos="308" w:leader="none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 w:val="true"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 w:val="true"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 w:val="true"/>
      <w:ind w:left="708" w:hanging="0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 w:val="true"/>
      <w:ind w:left="4248" w:firstLine="708"/>
      <w:outlineLvl w:val="7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Char" w:customStyle="1">
    <w:name w:val="Char"/>
    <w:semiHidden/>
    <w:qFormat/>
    <w:rPr>
      <w:rFonts w:eastAsia="SimSun"/>
      <w:kern w:val="2"/>
      <w:lang w:eastAsia="zh-CN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semiHidden/>
    <w:unhideWhenUsed/>
    <w:qFormat/>
    <w:rPr>
      <w:vertAlign w:val="superscript"/>
    </w:rPr>
  </w:style>
  <w:style w:type="character" w:styleId="Caracteresdenotaderodap" w:customStyle="1">
    <w:name w:val="Caracteres de nota de rodapé"/>
    <w:qFormat/>
    <w:rPr/>
  </w:style>
  <w:style w:type="character" w:styleId="TextodenotaderodapChar" w:customStyle="1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styleId="TextodebaloChar" w:customStyle="1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color w:val="auto"/>
    </w:rPr>
  </w:style>
  <w:style w:type="character" w:styleId="ListLabel2" w:customStyle="1">
    <w:name w:val="ListLabel 2"/>
    <w:qFormat/>
    <w:rPr>
      <w:rFonts w:eastAsia="Times New Roman" w:cs="Arial"/>
    </w:rPr>
  </w:style>
  <w:style w:type="character" w:styleId="ListLabel3" w:customStyle="1">
    <w:name w:val="ListLabel 3"/>
    <w:qFormat/>
    <w:rPr>
      <w:rFonts w:eastAsia="Times New Roman" w:cs="Arial"/>
    </w:rPr>
  </w:style>
  <w:style w:type="character" w:styleId="ListLabel4" w:customStyle="1">
    <w:name w:val="ListLabel 4"/>
    <w:qFormat/>
    <w:rPr>
      <w:rFonts w:eastAsia="Times New Roman" w:cs="Times New Roman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580a08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semiHidden/>
    <w:pPr>
      <w:widowControl w:val="false"/>
      <w:tabs>
        <w:tab w:val="clear" w:pos="708"/>
        <w:tab w:val="left" w:pos="720" w:leader="none"/>
      </w:tabs>
      <w:jc w:val="both"/>
    </w:pPr>
    <w:rPr>
      <w:sz w:val="28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jc w:val="center"/>
    </w:pPr>
    <w:rPr>
      <w:b/>
      <w:bCs/>
      <w:sz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Cabealho">
    <w:name w:val="Header"/>
    <w:basedOn w:val="Normal"/>
    <w:semiHidden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semiHidden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Eduteste" w:customStyle="1">
    <w:name w:val="edu_teste"/>
    <w:basedOn w:val="Normal"/>
    <w:qFormat/>
    <w:pPr>
      <w:overflowPunct w:val="true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Corpodotextorecuado">
    <w:name w:val="Body Text Indent"/>
    <w:basedOn w:val="Normal"/>
    <w:semiHidden/>
    <w:pPr>
      <w:overflowPunct w:val="true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  <w:rPr/>
  </w:style>
  <w:style w:type="paragraph" w:styleId="BodyText2">
    <w:name w:val="Body Text 2"/>
    <w:basedOn w:val="Normal"/>
    <w:semiHidden/>
    <w:qFormat/>
    <w:pPr/>
    <w:rPr>
      <w:sz w:val="28"/>
      <w:szCs w:val="18"/>
    </w:rPr>
  </w:style>
  <w:style w:type="paragraph" w:styleId="BodyText3">
    <w:name w:val="Body Text 3"/>
    <w:basedOn w:val="Normal"/>
    <w:semiHidden/>
    <w:qFormat/>
    <w:pPr>
      <w:snapToGrid w:val="false"/>
      <w:jc w:val="both"/>
    </w:pPr>
    <w:rPr>
      <w:szCs w:val="20"/>
    </w:rPr>
  </w:style>
  <w:style w:type="paragraph" w:styleId="BodyTextIndent2">
    <w:name w:val="Body Text Indent 2"/>
    <w:basedOn w:val="Normal"/>
    <w:semiHidden/>
    <w:qFormat/>
    <w:pPr>
      <w:ind w:left="2832" w:hanging="0"/>
      <w:jc w:val="both"/>
    </w:pPr>
    <w:rPr>
      <w:b/>
      <w:bCs/>
      <w:sz w:val="28"/>
    </w:rPr>
  </w:style>
  <w:style w:type="paragraph" w:styleId="Ecmsonormal" w:customStyle="1">
    <w:name w:val="ec_msonormal"/>
    <w:basedOn w:val="Normal"/>
    <w:qFormat/>
    <w:pPr>
      <w:spacing w:before="0" w:after="324"/>
    </w:pPr>
    <w:rPr/>
  </w:style>
  <w:style w:type="paragraph" w:styleId="Notaderodap">
    <w:name w:val="Footnote Text"/>
    <w:basedOn w:val="Normal"/>
    <w:link w:val="TextodenotaderodapChar"/>
    <w:semiHidden/>
    <w:unhideWhenUsed/>
    <w:pPr>
      <w:widowControl w:val="false"/>
      <w:suppressLineNumbers/>
      <w:suppressAutoHyphens w:val="true"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styleId="Padre3o" w:customStyle="1">
    <w:name w:val="Padrãe3o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Padre3e3o" w:customStyle="1">
    <w:name w:val="Padrãe3e3o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BodyTextIndent3">
    <w:name w:val="Body Text Indent 3"/>
    <w:basedOn w:val="Normal"/>
    <w:semiHidden/>
    <w:qFormat/>
    <w:pPr>
      <w:spacing w:lineRule="auto" w:line="360"/>
      <w:ind w:left="4248" w:hanging="0"/>
      <w:jc w:val="both"/>
    </w:pPr>
    <w:rPr>
      <w:b/>
      <w:szCs w:val="25"/>
    </w:rPr>
  </w:style>
  <w:style w:type="paragraph" w:styleId="Default" w:customStyle="1">
    <w:name w:val="Default"/>
    <w:qFormat/>
    <w:rsid w:val="00847e49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e065d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9c2"/>
    <w:pPr>
      <w:ind w:left="708" w:hanging="0"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580a08"/>
    <w:pPr/>
    <w:rPr>
      <w:b/>
      <w:bCs/>
    </w:rPr>
  </w:style>
  <w:style w:type="paragraph" w:styleId="Revision">
    <w:name w:val="Revision"/>
    <w:uiPriority w:val="99"/>
    <w:semiHidden/>
    <w:qFormat/>
    <w:rsid w:val="00e00b4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4F837-A7BF-456C-BE36-FF83525F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Application>Trio_Office/6.2.8.2$Windows_x86 LibreOffice_project/</Application>
  <Pages>3</Pages>
  <Words>425</Words>
  <Characters>2543</Characters>
  <CharactersWithSpaces>2964</CharactersWithSpaces>
  <Paragraphs>19</Paragraphs>
  <Company>CMPA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2020-08-17T15:51:00Z</dcterms:created>
  <dc:creator>Administrador</dc:creator>
  <dc:description/>
  <dc:language>pt-BR</dc:language>
  <cp:lastModifiedBy>JEFFERSON REDATOR </cp:lastModifiedBy>
  <cp:lastPrinted>2015-02-24T14:27:00Z</cp:lastPrinted>
  <dcterms:modified xsi:type="dcterms:W3CDTF">2021-05-05T13:59:43Z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