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0F348115" w14:textId="578E00F3" w:rsidR="007735EF" w:rsidRPr="007735EF" w:rsidRDefault="007735EF" w:rsidP="007735EF">
      <w:pPr>
        <w:ind w:firstLine="1418"/>
        <w:jc w:val="both"/>
        <w:rPr>
          <w:rFonts w:eastAsia="Calibri"/>
          <w:lang w:eastAsia="en-US"/>
        </w:rPr>
      </w:pPr>
      <w:r w:rsidRPr="007735EF">
        <w:rPr>
          <w:rFonts w:eastAsia="Calibri"/>
          <w:lang w:eastAsia="en-US"/>
        </w:rPr>
        <w:t xml:space="preserve">O presente Projeto de Lei </w:t>
      </w:r>
      <w:r w:rsidR="0039625D">
        <w:rPr>
          <w:rFonts w:eastAsia="Calibri"/>
          <w:lang w:eastAsia="en-US"/>
        </w:rPr>
        <w:t xml:space="preserve">foi </w:t>
      </w:r>
      <w:r w:rsidRPr="007735EF">
        <w:rPr>
          <w:rFonts w:eastAsia="Calibri"/>
          <w:lang w:eastAsia="en-US"/>
        </w:rPr>
        <w:t>construído de forma coletiva junto ao Conselho de Segurança Alimentar e Nutricional Sustentável do Estado do Rio Grande do Sul (</w:t>
      </w:r>
      <w:r w:rsidR="0039625D">
        <w:rPr>
          <w:rFonts w:eastAsia="Calibri"/>
          <w:lang w:eastAsia="en-US"/>
        </w:rPr>
        <w:t>Consea</w:t>
      </w:r>
      <w:r w:rsidRPr="007735EF">
        <w:rPr>
          <w:rFonts w:eastAsia="Calibri"/>
          <w:lang w:eastAsia="en-US"/>
        </w:rPr>
        <w:t xml:space="preserve">) e </w:t>
      </w:r>
      <w:r w:rsidR="0039625D">
        <w:rPr>
          <w:rFonts w:eastAsia="Calibri"/>
          <w:lang w:eastAsia="en-US"/>
        </w:rPr>
        <w:t>a</w:t>
      </w:r>
      <w:r w:rsidRPr="007735EF">
        <w:rPr>
          <w:rFonts w:eastAsia="Calibri"/>
          <w:lang w:eastAsia="en-US"/>
        </w:rPr>
        <w:t>o Conselho Municipal de Segurança Alimentar e Nutricional Sustentável (</w:t>
      </w:r>
      <w:r w:rsidR="0039625D">
        <w:rPr>
          <w:rFonts w:eastAsia="Calibri"/>
          <w:lang w:eastAsia="en-US"/>
        </w:rPr>
        <w:t>Comsans</w:t>
      </w:r>
      <w:r w:rsidRPr="007735EF">
        <w:rPr>
          <w:rFonts w:eastAsia="Calibri"/>
          <w:lang w:eastAsia="en-US"/>
        </w:rPr>
        <w:t xml:space="preserve">), </w:t>
      </w:r>
      <w:r w:rsidR="0039625D">
        <w:rPr>
          <w:rFonts w:eastAsia="Calibri"/>
          <w:lang w:eastAsia="en-US"/>
        </w:rPr>
        <w:t xml:space="preserve">e </w:t>
      </w:r>
      <w:r w:rsidRPr="007735EF">
        <w:rPr>
          <w:rFonts w:eastAsia="Calibri"/>
          <w:lang w:eastAsia="en-US"/>
        </w:rPr>
        <w:t xml:space="preserve">propõe a criação de um </w:t>
      </w:r>
      <w:r w:rsidR="0039625D">
        <w:rPr>
          <w:rFonts w:eastAsia="Calibri"/>
          <w:lang w:eastAsia="en-US"/>
        </w:rPr>
        <w:t>P</w:t>
      </w:r>
      <w:r w:rsidRPr="007735EF">
        <w:rPr>
          <w:rFonts w:eastAsia="Calibri"/>
          <w:lang w:eastAsia="en-US"/>
        </w:rPr>
        <w:t xml:space="preserve">rograma de </w:t>
      </w:r>
      <w:r w:rsidR="0039625D">
        <w:rPr>
          <w:rFonts w:eastAsia="Calibri"/>
          <w:lang w:eastAsia="en-US"/>
        </w:rPr>
        <w:t>A</w:t>
      </w:r>
      <w:r w:rsidRPr="007735EF">
        <w:rPr>
          <w:rFonts w:eastAsia="Calibri"/>
          <w:lang w:eastAsia="en-US"/>
        </w:rPr>
        <w:t xml:space="preserve">quisição de </w:t>
      </w:r>
      <w:r w:rsidR="0039625D">
        <w:rPr>
          <w:rFonts w:eastAsia="Calibri"/>
          <w:lang w:eastAsia="en-US"/>
        </w:rPr>
        <w:t>A</w:t>
      </w:r>
      <w:r w:rsidRPr="007735EF">
        <w:rPr>
          <w:rFonts w:eastAsia="Calibri"/>
          <w:lang w:eastAsia="en-US"/>
        </w:rPr>
        <w:t xml:space="preserve">limentos municipal. Dessa forma, entre outras coisas, o Projeto colabora com o enfrentamento da fome, com a sustentabilidade e a geração de emprego e renda no </w:t>
      </w:r>
      <w:r w:rsidR="0039625D">
        <w:rPr>
          <w:rFonts w:eastAsia="Calibri"/>
          <w:lang w:eastAsia="en-US"/>
        </w:rPr>
        <w:t>M</w:t>
      </w:r>
      <w:r w:rsidRPr="007735EF">
        <w:rPr>
          <w:rFonts w:eastAsia="Calibri"/>
          <w:lang w:eastAsia="en-US"/>
        </w:rPr>
        <w:t xml:space="preserve">unicípio, com a saúde pública, </w:t>
      </w:r>
      <w:r w:rsidR="0039625D">
        <w:rPr>
          <w:rFonts w:eastAsia="Calibri"/>
          <w:lang w:eastAsia="en-US"/>
        </w:rPr>
        <w:t xml:space="preserve">a </w:t>
      </w:r>
      <w:r w:rsidRPr="007735EF">
        <w:rPr>
          <w:rFonts w:eastAsia="Calibri"/>
          <w:lang w:eastAsia="en-US"/>
        </w:rPr>
        <w:t>educação e a formação dos porto-alegrenses.</w:t>
      </w:r>
    </w:p>
    <w:p w14:paraId="34595A0E" w14:textId="77777777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587EA47B" w14:textId="601729DF" w:rsidR="007735EF" w:rsidRPr="007735EF" w:rsidRDefault="007735EF" w:rsidP="007735EF">
      <w:pPr>
        <w:ind w:firstLine="1418"/>
        <w:jc w:val="both"/>
        <w:rPr>
          <w:rFonts w:eastAsia="Calibri"/>
          <w:lang w:eastAsia="en-US"/>
        </w:rPr>
      </w:pPr>
      <w:r w:rsidRPr="007735EF">
        <w:rPr>
          <w:rFonts w:eastAsia="Calibri"/>
          <w:lang w:eastAsia="en-US"/>
        </w:rPr>
        <w:t xml:space="preserve">Lamentavelmente, a miséria e a fome têm crescido novamente e exponencialmente no Brasil. Recente matéria publicada pelo </w:t>
      </w:r>
      <w:r w:rsidR="0039625D">
        <w:rPr>
          <w:rFonts w:eastAsia="Calibri"/>
          <w:lang w:eastAsia="en-US"/>
        </w:rPr>
        <w:t>P</w:t>
      </w:r>
      <w:r w:rsidRPr="007735EF">
        <w:rPr>
          <w:rFonts w:eastAsia="Calibri"/>
          <w:lang w:eastAsia="en-US"/>
        </w:rPr>
        <w:t xml:space="preserve">ortal Uol traz os dados do CadÚnico, mostrando que, em 2020, o Brasil chegou à marca de 14 milhões de famílias na miséria, uma realidade que se agrava com a pandemia. É urgente, portanto, que o </w:t>
      </w:r>
      <w:r w:rsidR="0039625D">
        <w:rPr>
          <w:rFonts w:eastAsia="Calibri"/>
          <w:lang w:eastAsia="en-US"/>
        </w:rPr>
        <w:t>M</w:t>
      </w:r>
      <w:r w:rsidRPr="007735EF">
        <w:rPr>
          <w:rFonts w:eastAsia="Calibri"/>
          <w:lang w:eastAsia="en-US"/>
        </w:rPr>
        <w:t>unicípio de Porto Alegre esteja munido de políticas públicas capazes de garantir a segurança alimentar das famílias em situação de pobreza. A segurança alimentar é uma questão de saúde pública.</w:t>
      </w:r>
    </w:p>
    <w:p w14:paraId="5EFBAB94" w14:textId="77777777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1A8E1586" w14:textId="11C9EDC2" w:rsidR="007735EF" w:rsidRPr="007735EF" w:rsidRDefault="007735EF" w:rsidP="007735EF">
      <w:pPr>
        <w:ind w:firstLine="1418"/>
        <w:jc w:val="both"/>
        <w:rPr>
          <w:rFonts w:eastAsia="Calibri"/>
          <w:lang w:eastAsia="en-US"/>
        </w:rPr>
      </w:pPr>
      <w:r w:rsidRPr="007735EF">
        <w:rPr>
          <w:rFonts w:eastAsia="Calibri"/>
          <w:lang w:eastAsia="en-US"/>
        </w:rPr>
        <w:t xml:space="preserve">Entre 2016 e 2018, Porto Alegre reduziu 31 mil postos de trabalho formais, 18% dos desempregados buscam trabalho continuamente há mais de 2 anos e os investimentos públicos, em âmbito federal, estadual e municipal são cada vez menores. Prova disso </w:t>
      </w:r>
      <w:r w:rsidR="00313AE6">
        <w:rPr>
          <w:rFonts w:eastAsia="Calibri"/>
          <w:lang w:eastAsia="en-US"/>
        </w:rPr>
        <w:t>pode ser vista n</w:t>
      </w:r>
      <w:r w:rsidRPr="007735EF">
        <w:rPr>
          <w:rFonts w:eastAsia="Calibri"/>
          <w:lang w:eastAsia="en-US"/>
        </w:rPr>
        <w:t xml:space="preserve">o Programa Bolsa Família, que atendia 57.309 famílias em 2016, reduzindo para 41.557, no início da pandemia (março 2020). Quase 16 mil famílias a menos, cerca de 35 mil pessoas pobres e extremamente pobres, que deixaram de ter o suporte do </w:t>
      </w:r>
      <w:r w:rsidR="00313AE6">
        <w:rPr>
          <w:rFonts w:eastAsia="Calibri"/>
          <w:lang w:eastAsia="en-US"/>
        </w:rPr>
        <w:t>E</w:t>
      </w:r>
      <w:r w:rsidRPr="007735EF">
        <w:rPr>
          <w:rFonts w:eastAsia="Calibri"/>
          <w:lang w:eastAsia="en-US"/>
        </w:rPr>
        <w:t xml:space="preserve">stado </w:t>
      </w:r>
      <w:r w:rsidR="00313AE6">
        <w:rPr>
          <w:rFonts w:eastAsia="Calibri"/>
          <w:lang w:eastAsia="en-US"/>
        </w:rPr>
        <w:t xml:space="preserve">por meio </w:t>
      </w:r>
      <w:r w:rsidRPr="007735EF">
        <w:rPr>
          <w:rFonts w:eastAsia="Calibri"/>
          <w:lang w:eastAsia="en-US"/>
        </w:rPr>
        <w:t xml:space="preserve">da </w:t>
      </w:r>
      <w:r w:rsidR="00313AE6">
        <w:rPr>
          <w:rFonts w:eastAsia="Calibri"/>
          <w:lang w:eastAsia="en-US"/>
        </w:rPr>
        <w:t>a</w:t>
      </w:r>
      <w:r w:rsidRPr="007735EF">
        <w:rPr>
          <w:rFonts w:eastAsia="Calibri"/>
          <w:lang w:eastAsia="en-US"/>
        </w:rPr>
        <w:t xml:space="preserve">ssistência </w:t>
      </w:r>
      <w:r w:rsidR="00313AE6">
        <w:rPr>
          <w:rFonts w:eastAsia="Calibri"/>
          <w:lang w:eastAsia="en-US"/>
        </w:rPr>
        <w:t>s</w:t>
      </w:r>
      <w:r w:rsidRPr="007735EF">
        <w:rPr>
          <w:rFonts w:eastAsia="Calibri"/>
          <w:lang w:eastAsia="en-US"/>
        </w:rPr>
        <w:t>ocial e de políticas de transferência de renda.</w:t>
      </w:r>
    </w:p>
    <w:p w14:paraId="22943964" w14:textId="77777777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6D797B59" w14:textId="213DA899" w:rsidR="007735EF" w:rsidRPr="007735EF" w:rsidRDefault="007735EF" w:rsidP="007735EF">
      <w:pPr>
        <w:ind w:firstLine="1418"/>
        <w:jc w:val="both"/>
        <w:rPr>
          <w:rFonts w:eastAsia="Calibri"/>
          <w:lang w:eastAsia="en-US"/>
        </w:rPr>
      </w:pPr>
      <w:r w:rsidRPr="007735EF">
        <w:rPr>
          <w:rFonts w:eastAsia="Calibri"/>
          <w:lang w:eastAsia="en-US"/>
        </w:rPr>
        <w:t>No cenário da pandemia, durante o primeiro semestre de 2020, Porto Alegre foi a quinta capital com maior fechamento de postos de trabalho: 23 mil postos (</w:t>
      </w:r>
      <w:r w:rsidR="008A4493">
        <w:rPr>
          <w:rFonts w:eastAsia="Calibri"/>
          <w:lang w:eastAsia="en-US"/>
        </w:rPr>
        <w:t xml:space="preserve">segundo o </w:t>
      </w:r>
      <w:r w:rsidRPr="007735EF">
        <w:rPr>
          <w:rFonts w:eastAsia="Calibri"/>
          <w:lang w:eastAsia="en-US"/>
        </w:rPr>
        <w:t xml:space="preserve">CAGED), </w:t>
      </w:r>
      <w:r w:rsidR="008A4493">
        <w:rPr>
          <w:rFonts w:eastAsia="Calibri"/>
          <w:lang w:eastAsia="en-US"/>
        </w:rPr>
        <w:t>em que</w:t>
      </w:r>
      <w:r w:rsidR="008A4493" w:rsidRPr="007735EF">
        <w:rPr>
          <w:rFonts w:eastAsia="Calibri"/>
          <w:lang w:eastAsia="en-US"/>
        </w:rPr>
        <w:t xml:space="preserve"> </w:t>
      </w:r>
      <w:r w:rsidRPr="007735EF">
        <w:rPr>
          <w:rFonts w:eastAsia="Calibri"/>
          <w:lang w:eastAsia="en-US"/>
        </w:rPr>
        <w:t>os mais atingidos são os jovens (20,8%), as mulheres (10,4%) e os negros (12,3%); e a terceira capital com a cesta básica mais cara (</w:t>
      </w:r>
      <w:r w:rsidR="008A4493">
        <w:rPr>
          <w:rFonts w:eastAsia="Calibri"/>
          <w:lang w:eastAsia="en-US"/>
        </w:rPr>
        <w:t xml:space="preserve">segundo o </w:t>
      </w:r>
      <w:r w:rsidRPr="007735EF">
        <w:rPr>
          <w:rFonts w:eastAsia="Calibri"/>
          <w:lang w:eastAsia="en-US"/>
        </w:rPr>
        <w:t xml:space="preserve">DIEESE), R$ 615,66, ficando atrás somente de São Paulo e Rio de Janeiro. A pandemia aprofundou a desigualdade e a miséria em nossa </w:t>
      </w:r>
      <w:r w:rsidR="007533F3">
        <w:rPr>
          <w:rFonts w:eastAsia="Calibri"/>
          <w:lang w:eastAsia="en-US"/>
        </w:rPr>
        <w:t>C</w:t>
      </w:r>
      <w:r w:rsidRPr="007735EF">
        <w:rPr>
          <w:rFonts w:eastAsia="Calibri"/>
          <w:lang w:eastAsia="en-US"/>
        </w:rPr>
        <w:t xml:space="preserve">idade, </w:t>
      </w:r>
      <w:r w:rsidR="00313AE6">
        <w:rPr>
          <w:rFonts w:eastAsia="Calibri"/>
          <w:lang w:eastAsia="en-US"/>
        </w:rPr>
        <w:t>um quarto</w:t>
      </w:r>
      <w:r w:rsidRPr="007735EF">
        <w:rPr>
          <w:rFonts w:eastAsia="Calibri"/>
          <w:lang w:eastAsia="en-US"/>
        </w:rPr>
        <w:t xml:space="preserve"> da população da </w:t>
      </w:r>
      <w:r w:rsidR="00313AE6">
        <w:rPr>
          <w:rFonts w:eastAsia="Calibri"/>
          <w:lang w:eastAsia="en-US"/>
        </w:rPr>
        <w:t>C</w:t>
      </w:r>
      <w:r w:rsidRPr="007735EF">
        <w:rPr>
          <w:rFonts w:eastAsia="Calibri"/>
          <w:lang w:eastAsia="en-US"/>
        </w:rPr>
        <w:t>apital sobreviveu em meio a pandemia apenas com o aporte do Auxílio Emergencial, considerando que 321.797 pessoas receberam ao menos uma das parcelas.</w:t>
      </w:r>
    </w:p>
    <w:p w14:paraId="30F6C778" w14:textId="77777777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14558BB2" w14:textId="35163194" w:rsidR="007735EF" w:rsidRPr="007735EF" w:rsidRDefault="007735EF" w:rsidP="007735EF">
      <w:pPr>
        <w:ind w:firstLine="1418"/>
        <w:jc w:val="both"/>
        <w:rPr>
          <w:rFonts w:eastAsia="Calibri"/>
          <w:lang w:eastAsia="en-US"/>
        </w:rPr>
      </w:pPr>
      <w:r w:rsidRPr="007735EF">
        <w:rPr>
          <w:rFonts w:eastAsia="Calibri"/>
          <w:lang w:eastAsia="en-US"/>
        </w:rPr>
        <w:t xml:space="preserve">Em pesquisa apresentada pelo Datafolha em agosto de 2020, vimos que </w:t>
      </w:r>
      <w:r w:rsidR="007533F3">
        <w:rPr>
          <w:rFonts w:eastAsia="Calibri"/>
          <w:lang w:eastAsia="en-US"/>
        </w:rPr>
        <w:t xml:space="preserve">53% do valor do benefício </w:t>
      </w:r>
      <w:r w:rsidRPr="007735EF">
        <w:rPr>
          <w:rFonts w:eastAsia="Calibri"/>
          <w:lang w:eastAsia="en-US"/>
        </w:rPr>
        <w:t xml:space="preserve">foi </w:t>
      </w:r>
      <w:r w:rsidR="007533F3">
        <w:rPr>
          <w:rFonts w:eastAsia="Calibri"/>
          <w:lang w:eastAsia="en-US"/>
        </w:rPr>
        <w:t>destinado para</w:t>
      </w:r>
      <w:r w:rsidRPr="007735EF">
        <w:rPr>
          <w:rFonts w:eastAsia="Calibri"/>
          <w:lang w:eastAsia="en-US"/>
        </w:rPr>
        <w:t xml:space="preserve"> compra de alimentos (53%)</w:t>
      </w:r>
      <w:r w:rsidR="007533F3">
        <w:rPr>
          <w:rFonts w:eastAsia="Calibri"/>
          <w:lang w:eastAsia="en-US"/>
        </w:rPr>
        <w:t xml:space="preserve"> – sendo </w:t>
      </w:r>
      <w:r w:rsidR="007533F3" w:rsidRPr="007735EF">
        <w:rPr>
          <w:rFonts w:eastAsia="Calibri"/>
          <w:lang w:eastAsia="en-US"/>
        </w:rPr>
        <w:t xml:space="preserve">o principal destino do </w:t>
      </w:r>
      <w:r w:rsidR="007533F3">
        <w:rPr>
          <w:rFonts w:eastAsia="Calibri"/>
          <w:lang w:eastAsia="en-US"/>
        </w:rPr>
        <w:t>auxílio –</w:t>
      </w:r>
      <w:r w:rsidRPr="007735EF">
        <w:rPr>
          <w:rFonts w:eastAsia="Calibri"/>
          <w:lang w:eastAsia="en-US"/>
        </w:rPr>
        <w:t xml:space="preserve">, 25% para pagar contas, 16% para pagar despesas da casa e 1% para comprar remédios. Sobe para 61% o percentual gasto com alimentação entre as pessoas com renda familiar de até dois salários mínimos. Entre os que se auto declararam negros (pretos e pardos), 49% tinham o </w:t>
      </w:r>
      <w:r w:rsidR="00EC3F01">
        <w:rPr>
          <w:rFonts w:eastAsia="Calibri"/>
          <w:lang w:eastAsia="en-US"/>
        </w:rPr>
        <w:t>a</w:t>
      </w:r>
      <w:r w:rsidRPr="007735EF">
        <w:rPr>
          <w:rFonts w:eastAsia="Calibri"/>
          <w:lang w:eastAsia="en-US"/>
        </w:rPr>
        <w:t xml:space="preserve">uxílio </w:t>
      </w:r>
      <w:r w:rsidR="00EC3F01">
        <w:rPr>
          <w:rFonts w:eastAsia="Calibri"/>
          <w:lang w:eastAsia="en-US"/>
        </w:rPr>
        <w:t>e</w:t>
      </w:r>
      <w:r w:rsidRPr="007735EF">
        <w:rPr>
          <w:rFonts w:eastAsia="Calibri"/>
          <w:lang w:eastAsia="en-US"/>
        </w:rPr>
        <w:t>mergencial como única fonte de renda.</w:t>
      </w:r>
    </w:p>
    <w:p w14:paraId="20800355" w14:textId="77777777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2ACDDD6D" w14:textId="75839F34" w:rsidR="007735EF" w:rsidRPr="007735EF" w:rsidRDefault="007735EF" w:rsidP="007735EF">
      <w:pPr>
        <w:ind w:firstLine="1418"/>
        <w:jc w:val="both"/>
        <w:rPr>
          <w:rFonts w:eastAsia="Calibri"/>
          <w:lang w:eastAsia="en-US"/>
        </w:rPr>
      </w:pPr>
      <w:r w:rsidRPr="007735EF">
        <w:rPr>
          <w:rFonts w:eastAsia="Calibri"/>
          <w:lang w:eastAsia="en-US"/>
        </w:rPr>
        <w:t xml:space="preserve">Nesse contexto, a </w:t>
      </w:r>
      <w:r w:rsidR="00EC3F01">
        <w:rPr>
          <w:rFonts w:eastAsia="Calibri"/>
          <w:lang w:eastAsia="en-US"/>
        </w:rPr>
        <w:t>a</w:t>
      </w:r>
      <w:r w:rsidRPr="007735EF">
        <w:rPr>
          <w:rFonts w:eastAsia="Calibri"/>
          <w:lang w:eastAsia="en-US"/>
        </w:rPr>
        <w:t xml:space="preserve">gricultura </w:t>
      </w:r>
      <w:r w:rsidR="00EC3F01">
        <w:rPr>
          <w:rFonts w:eastAsia="Calibri"/>
          <w:lang w:eastAsia="en-US"/>
        </w:rPr>
        <w:t>f</w:t>
      </w:r>
      <w:r w:rsidRPr="007735EF">
        <w:rPr>
          <w:rFonts w:eastAsia="Calibri"/>
          <w:lang w:eastAsia="en-US"/>
        </w:rPr>
        <w:t xml:space="preserve">amiliar e o fortalecimento da </w:t>
      </w:r>
      <w:r w:rsidR="00EC3F01">
        <w:rPr>
          <w:rFonts w:eastAsia="Calibri"/>
          <w:lang w:eastAsia="en-US"/>
        </w:rPr>
        <w:t>a</w:t>
      </w:r>
      <w:r w:rsidRPr="007735EF">
        <w:rPr>
          <w:rFonts w:eastAsia="Calibri"/>
          <w:lang w:eastAsia="en-US"/>
        </w:rPr>
        <w:t xml:space="preserve">gricultura </w:t>
      </w:r>
      <w:r w:rsidR="00EC3F01">
        <w:rPr>
          <w:rFonts w:eastAsia="Calibri"/>
          <w:lang w:eastAsia="en-US"/>
        </w:rPr>
        <w:t>u</w:t>
      </w:r>
      <w:r w:rsidRPr="007735EF">
        <w:rPr>
          <w:rFonts w:eastAsia="Calibri"/>
          <w:lang w:eastAsia="en-US"/>
        </w:rPr>
        <w:t xml:space="preserve">rbana e </w:t>
      </w:r>
      <w:r w:rsidR="00EC3F01">
        <w:rPr>
          <w:rFonts w:eastAsia="Calibri"/>
          <w:lang w:eastAsia="en-US"/>
        </w:rPr>
        <w:t>p</w:t>
      </w:r>
      <w:r w:rsidRPr="007735EF">
        <w:rPr>
          <w:rFonts w:eastAsia="Calibri"/>
          <w:lang w:eastAsia="en-US"/>
        </w:rPr>
        <w:t xml:space="preserve">eriurbana </w:t>
      </w:r>
      <w:r w:rsidR="00EC3F01">
        <w:rPr>
          <w:rFonts w:eastAsia="Calibri"/>
          <w:lang w:eastAsia="en-US"/>
        </w:rPr>
        <w:t>s</w:t>
      </w:r>
      <w:r w:rsidRPr="007735EF">
        <w:rPr>
          <w:rFonts w:eastAsia="Calibri"/>
          <w:lang w:eastAsia="en-US"/>
        </w:rPr>
        <w:t xml:space="preserve">ustentável emerge como alternativa para melhorar a vida da população e para garantir a sustentabilidade do </w:t>
      </w:r>
      <w:r w:rsidR="00EC3F01">
        <w:rPr>
          <w:rFonts w:eastAsia="Calibri"/>
          <w:lang w:eastAsia="en-US"/>
        </w:rPr>
        <w:t>M</w:t>
      </w:r>
      <w:r w:rsidRPr="007735EF">
        <w:rPr>
          <w:rFonts w:eastAsia="Calibri"/>
          <w:lang w:eastAsia="en-US"/>
        </w:rPr>
        <w:t>unicípio. Ademais, uma política estruturada de compra e distribuição simultânea de alimentos saudáveis permite ganhos multifuncionais, garantindo produtividade, segurança alimentar, geração de renda local, diversidade produtiva e sociocultural</w:t>
      </w:r>
      <w:r w:rsidR="00EC3F01">
        <w:rPr>
          <w:rFonts w:eastAsia="Calibri"/>
          <w:lang w:eastAsia="en-US"/>
        </w:rPr>
        <w:t xml:space="preserve"> e</w:t>
      </w:r>
      <w:r w:rsidRPr="007735EF">
        <w:rPr>
          <w:rFonts w:eastAsia="Calibri"/>
          <w:lang w:eastAsia="en-US"/>
        </w:rPr>
        <w:t xml:space="preserve"> atividades de cultura e lazer. Ou seja, é um projeto holístico, em consonância com o Decreto nº 18.861</w:t>
      </w:r>
      <w:r w:rsidR="00EC3F01">
        <w:rPr>
          <w:rFonts w:eastAsia="Calibri"/>
          <w:lang w:eastAsia="en-US"/>
        </w:rPr>
        <w:t xml:space="preserve">, de </w:t>
      </w:r>
      <w:r w:rsidRPr="007735EF">
        <w:rPr>
          <w:rFonts w:eastAsia="Calibri"/>
          <w:lang w:eastAsia="en-US"/>
        </w:rPr>
        <w:t xml:space="preserve">2014, a Lei </w:t>
      </w:r>
      <w:r w:rsidR="00EC3F01">
        <w:rPr>
          <w:rFonts w:eastAsia="Calibri"/>
          <w:lang w:eastAsia="en-US"/>
        </w:rPr>
        <w:t>E</w:t>
      </w:r>
      <w:r w:rsidRPr="007735EF">
        <w:rPr>
          <w:rFonts w:eastAsia="Calibri"/>
          <w:lang w:eastAsia="en-US"/>
        </w:rPr>
        <w:t>stadual nº 15.222</w:t>
      </w:r>
      <w:r w:rsidR="00EC3F01">
        <w:rPr>
          <w:rFonts w:eastAsia="Calibri"/>
          <w:lang w:eastAsia="en-US"/>
        </w:rPr>
        <w:t xml:space="preserve">, de </w:t>
      </w:r>
      <w:r w:rsidRPr="007735EF">
        <w:rPr>
          <w:rFonts w:eastAsia="Calibri"/>
          <w:lang w:eastAsia="en-US"/>
        </w:rPr>
        <w:t>2018</w:t>
      </w:r>
      <w:r w:rsidR="00EC3F01">
        <w:rPr>
          <w:rFonts w:eastAsia="Calibri"/>
          <w:lang w:eastAsia="en-US"/>
        </w:rPr>
        <w:t xml:space="preserve">, </w:t>
      </w:r>
      <w:r w:rsidRPr="007735EF">
        <w:rPr>
          <w:rFonts w:eastAsia="Calibri"/>
          <w:lang w:eastAsia="en-US"/>
        </w:rPr>
        <w:t>e a Lei nº 12.328</w:t>
      </w:r>
      <w:r w:rsidR="00EC3F01">
        <w:rPr>
          <w:rFonts w:eastAsia="Calibri"/>
          <w:lang w:eastAsia="en-US"/>
        </w:rPr>
        <w:t xml:space="preserve">, de </w:t>
      </w:r>
      <w:r w:rsidRPr="007735EF">
        <w:rPr>
          <w:rFonts w:eastAsia="Calibri"/>
          <w:lang w:eastAsia="en-US"/>
        </w:rPr>
        <w:t>2017, fortalecendo</w:t>
      </w:r>
      <w:r w:rsidR="00EC3F01">
        <w:rPr>
          <w:rFonts w:eastAsia="Calibri"/>
          <w:lang w:eastAsia="en-US"/>
        </w:rPr>
        <w:t xml:space="preserve"> esta última</w:t>
      </w:r>
      <w:r w:rsidRPr="007735EF">
        <w:rPr>
          <w:rFonts w:eastAsia="Calibri"/>
          <w:lang w:eastAsia="en-US"/>
        </w:rPr>
        <w:t>, uma vez que potencializa as Zonas Livres de Agrotóxicos à Produção Primária e Extrativa.</w:t>
      </w:r>
    </w:p>
    <w:p w14:paraId="7F71EB8D" w14:textId="77777777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742B7300" w14:textId="1A6F5567" w:rsidR="00836FD6" w:rsidRDefault="007735EF" w:rsidP="007735EF">
      <w:pPr>
        <w:ind w:firstLine="1418"/>
        <w:jc w:val="both"/>
        <w:rPr>
          <w:rFonts w:eastAsia="Calibri"/>
          <w:lang w:eastAsia="en-US"/>
        </w:rPr>
      </w:pPr>
      <w:r w:rsidRPr="007735EF">
        <w:rPr>
          <w:rFonts w:eastAsia="Calibri"/>
          <w:lang w:eastAsia="en-US"/>
        </w:rPr>
        <w:t>O histórico do Brasil mostra que o enfrentamento à fome mais do que possível, é necessário, podendo ser viabilizado a partir de políticas públicas. Foi assim que, em 2014, o Brasil saiu do mapa da fome, e é por esse caminho</w:t>
      </w:r>
      <w:r w:rsidR="00EC3F01">
        <w:rPr>
          <w:rFonts w:eastAsia="Calibri"/>
          <w:lang w:eastAsia="en-US"/>
        </w:rPr>
        <w:t xml:space="preserve"> – </w:t>
      </w:r>
      <w:r w:rsidRPr="007735EF">
        <w:rPr>
          <w:rFonts w:eastAsia="Calibri"/>
          <w:lang w:eastAsia="en-US"/>
        </w:rPr>
        <w:t>com políticas públicas</w:t>
      </w:r>
      <w:r w:rsidR="00EC3F01">
        <w:rPr>
          <w:rFonts w:eastAsia="Calibri"/>
          <w:lang w:eastAsia="en-US"/>
        </w:rPr>
        <w:t xml:space="preserve"> – </w:t>
      </w:r>
      <w:r w:rsidRPr="007735EF">
        <w:rPr>
          <w:rFonts w:eastAsia="Calibri"/>
          <w:lang w:eastAsia="en-US"/>
        </w:rPr>
        <w:t>que enfrentaremos os desafios para a construção de uma cidade sustentável e inclusiva.</w:t>
      </w:r>
    </w:p>
    <w:p w14:paraId="08ACD816" w14:textId="77777777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67F3D5D7" w14:textId="69EA8A6C" w:rsidR="00836FD6" w:rsidRDefault="00C27B67" w:rsidP="007735E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Sala das Sessões, </w:t>
      </w:r>
      <w:r w:rsidR="007735EF"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 xml:space="preserve"> de </w:t>
      </w:r>
      <w:r w:rsidR="001267BD">
        <w:rPr>
          <w:rFonts w:eastAsia="Calibri"/>
          <w:lang w:eastAsia="en-US"/>
        </w:rPr>
        <w:t>fevereiro de 2021</w:t>
      </w:r>
      <w:r>
        <w:rPr>
          <w:rFonts w:eastAsia="Calibri"/>
          <w:lang w:eastAsia="en-US"/>
        </w:rPr>
        <w:t>.</w:t>
      </w:r>
    </w:p>
    <w:p w14:paraId="65CD478B" w14:textId="0F3E986F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  <w:bookmarkStart w:id="0" w:name="_GoBack"/>
      <w:bookmarkEnd w:id="0"/>
    </w:p>
    <w:p w14:paraId="6F6A943E" w14:textId="66C5F805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53C8CE6D" w14:textId="77777777" w:rsidR="007533F3" w:rsidRDefault="007533F3" w:rsidP="007735EF">
      <w:pPr>
        <w:ind w:firstLine="1418"/>
        <w:jc w:val="both"/>
        <w:rPr>
          <w:rFonts w:eastAsia="Calibri"/>
          <w:lang w:eastAsia="en-US"/>
        </w:rPr>
      </w:pPr>
    </w:p>
    <w:p w14:paraId="2257A1E6" w14:textId="77777777" w:rsidR="007735EF" w:rsidRDefault="007735EF">
      <w:pPr>
        <w:jc w:val="center"/>
        <w:rPr>
          <w:rFonts w:eastAsia="Calibri"/>
          <w:lang w:eastAsia="en-US"/>
        </w:rPr>
      </w:pPr>
    </w:p>
    <w:p w14:paraId="105F8BE6" w14:textId="33819D33" w:rsidR="00836FD6" w:rsidRDefault="007735EF">
      <w:pPr>
        <w:jc w:val="center"/>
      </w:pPr>
      <w:r>
        <w:rPr>
          <w:rFonts w:eastAsia="Calibri"/>
          <w:lang w:eastAsia="en-US"/>
        </w:rPr>
        <w:t>VEREADORA LAURA SITO</w:t>
      </w:r>
      <w:r w:rsidR="00C27B67"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7ECC634D" w:rsidR="00836FD6" w:rsidRDefault="007735EF">
      <w:pPr>
        <w:ind w:left="4253"/>
        <w:jc w:val="both"/>
        <w:rPr>
          <w:b/>
        </w:rPr>
      </w:pPr>
      <w:r w:rsidRPr="007735EF">
        <w:rPr>
          <w:b/>
        </w:rPr>
        <w:t xml:space="preserve">Institui o Programa </w:t>
      </w:r>
      <w:r w:rsidR="00D20F7D">
        <w:rPr>
          <w:b/>
        </w:rPr>
        <w:t xml:space="preserve">Municipal </w:t>
      </w:r>
      <w:r w:rsidRPr="007735EF">
        <w:rPr>
          <w:b/>
        </w:rPr>
        <w:t>de Aquisição de Alimentos no Município de Porto Alegre.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201621FF" w14:textId="0A74BED8" w:rsidR="007735EF" w:rsidRDefault="00C27B67" w:rsidP="007735EF">
      <w:pPr>
        <w:ind w:firstLine="1418"/>
        <w:jc w:val="both"/>
      </w:pPr>
      <w:r w:rsidRPr="00D167BA">
        <w:rPr>
          <w:b/>
        </w:rPr>
        <w:t>Art. 1º</w:t>
      </w:r>
      <w:r w:rsidRPr="00D167BA">
        <w:t xml:space="preserve">  </w:t>
      </w:r>
      <w:r w:rsidR="007735EF">
        <w:t xml:space="preserve"> </w:t>
      </w:r>
      <w:r w:rsidR="00586A9D">
        <w:t xml:space="preserve">Fica instituído </w:t>
      </w:r>
      <w:r w:rsidR="007735EF">
        <w:t xml:space="preserve">o Programa </w:t>
      </w:r>
      <w:r w:rsidR="00D20F7D">
        <w:t xml:space="preserve">Municipal </w:t>
      </w:r>
      <w:r w:rsidR="007735EF">
        <w:t>de Aquisição de Alimentos</w:t>
      </w:r>
      <w:r w:rsidR="00586A9D">
        <w:t xml:space="preserve"> no Município de Porto Alegre, </w:t>
      </w:r>
      <w:r w:rsidR="007735EF">
        <w:t xml:space="preserve">com </w:t>
      </w:r>
      <w:r w:rsidR="00586A9D">
        <w:t>o</w:t>
      </w:r>
      <w:r w:rsidR="007735EF">
        <w:t xml:space="preserve">s seguintes </w:t>
      </w:r>
      <w:r w:rsidR="00586A9D">
        <w:t>objetivos</w:t>
      </w:r>
      <w:r w:rsidR="007735EF">
        <w:t>:</w:t>
      </w:r>
    </w:p>
    <w:p w14:paraId="0C22FC3F" w14:textId="77777777" w:rsidR="007735EF" w:rsidRDefault="007735EF" w:rsidP="007735EF">
      <w:pPr>
        <w:ind w:firstLine="1418"/>
        <w:jc w:val="both"/>
      </w:pPr>
    </w:p>
    <w:p w14:paraId="3533B0BD" w14:textId="3BCA26A2" w:rsidR="007735EF" w:rsidRDefault="007735EF" w:rsidP="007735EF">
      <w:pPr>
        <w:ind w:firstLine="1418"/>
        <w:jc w:val="both"/>
      </w:pPr>
      <w:r>
        <w:t xml:space="preserve">I – incentivar a valorização e o consumo dos alimentos produzidos pela agricultura familiar, urbana e periurbana sustentável, promovendo a sua inclusão econômica e social, com fomento ao processamento de alimentos, </w:t>
      </w:r>
      <w:r w:rsidR="00586A9D">
        <w:t xml:space="preserve">à </w:t>
      </w:r>
      <w:r>
        <w:t>industrialização e à geração de renda;</w:t>
      </w:r>
    </w:p>
    <w:p w14:paraId="1B1010D0" w14:textId="77777777" w:rsidR="007735EF" w:rsidRDefault="007735EF" w:rsidP="007735EF">
      <w:pPr>
        <w:ind w:firstLine="1418"/>
        <w:jc w:val="both"/>
      </w:pPr>
    </w:p>
    <w:p w14:paraId="5261C059" w14:textId="00A61675" w:rsidR="007735EF" w:rsidRDefault="007735EF" w:rsidP="007735EF">
      <w:pPr>
        <w:ind w:firstLine="1418"/>
        <w:jc w:val="both"/>
      </w:pPr>
      <w:r>
        <w:t xml:space="preserve">II – promover o acesso </w:t>
      </w:r>
      <w:r w:rsidR="00586A9D">
        <w:t>à</w:t>
      </w:r>
      <w:r>
        <w:t xml:space="preserve"> alimentação em quantidade, qualidade e regularidade necessárias às pessoas em risco de insegurança alimentar e nutricional, sob a perspectiva do direito humano </w:t>
      </w:r>
      <w:r w:rsidR="00586A9D">
        <w:t>à</w:t>
      </w:r>
      <w:r>
        <w:t xml:space="preserve"> alimentação adequada e saudável;</w:t>
      </w:r>
    </w:p>
    <w:p w14:paraId="0B1CE66F" w14:textId="77777777" w:rsidR="007735EF" w:rsidRDefault="007735EF" w:rsidP="007735EF">
      <w:pPr>
        <w:ind w:firstLine="1418"/>
        <w:jc w:val="both"/>
      </w:pPr>
    </w:p>
    <w:p w14:paraId="6EC0EA77" w14:textId="205E01C8" w:rsidR="007735EF" w:rsidRDefault="007735EF" w:rsidP="007735EF">
      <w:pPr>
        <w:ind w:firstLine="1418"/>
        <w:jc w:val="both"/>
      </w:pPr>
      <w:r>
        <w:t>III – promover o abastecimento alimentar, que compreende as compras governamentais de alimentos, incluída a alimentação escolar; e</w:t>
      </w:r>
    </w:p>
    <w:p w14:paraId="79EFD5A2" w14:textId="77777777" w:rsidR="007735EF" w:rsidRDefault="007735EF" w:rsidP="007735EF">
      <w:pPr>
        <w:ind w:firstLine="1418"/>
        <w:jc w:val="both"/>
      </w:pPr>
    </w:p>
    <w:p w14:paraId="00E3922E" w14:textId="5B153C94" w:rsidR="007735EF" w:rsidRDefault="007735EF" w:rsidP="007735EF">
      <w:pPr>
        <w:ind w:firstLine="1418"/>
        <w:jc w:val="both"/>
      </w:pPr>
      <w:r>
        <w:t>IV – fortalecer circuitos locais e regionais e redes de comercialização.</w:t>
      </w:r>
    </w:p>
    <w:p w14:paraId="0CAF6E06" w14:textId="77777777" w:rsidR="007735EF" w:rsidRDefault="007735EF" w:rsidP="007735EF">
      <w:pPr>
        <w:ind w:firstLine="1418"/>
        <w:jc w:val="both"/>
      </w:pPr>
    </w:p>
    <w:p w14:paraId="411C98F2" w14:textId="7BD5FC5B" w:rsidR="007735EF" w:rsidRDefault="007735EF" w:rsidP="007735EF">
      <w:pPr>
        <w:ind w:firstLine="1418"/>
        <w:jc w:val="both"/>
      </w:pPr>
      <w:r w:rsidRPr="007735EF">
        <w:rPr>
          <w:b/>
        </w:rPr>
        <w:t>Art</w:t>
      </w:r>
      <w:r>
        <w:rPr>
          <w:b/>
        </w:rPr>
        <w:t>.</w:t>
      </w:r>
      <w:r w:rsidRPr="007735EF">
        <w:rPr>
          <w:b/>
        </w:rPr>
        <w:t xml:space="preserve"> 2º</w:t>
      </w:r>
      <w:r>
        <w:t xml:space="preserve">  </w:t>
      </w:r>
      <w:r w:rsidR="00586A9D">
        <w:t xml:space="preserve">Os fornecedores de produtos </w:t>
      </w:r>
      <w:r>
        <w:t xml:space="preserve">ao </w:t>
      </w:r>
      <w:r w:rsidR="00586A9D">
        <w:t>P</w:t>
      </w:r>
      <w:r>
        <w:t xml:space="preserve">rograma </w:t>
      </w:r>
      <w:r w:rsidR="00586A9D">
        <w:t xml:space="preserve">instituído por esta Lei serão </w:t>
      </w:r>
      <w:r>
        <w:t>os agricultores familiares inscritos no Programa Nacional de Fortalecimento da Agricultura Familiar (</w:t>
      </w:r>
      <w:r w:rsidR="00586A9D">
        <w:t>Pronaf</w:t>
      </w:r>
      <w:r>
        <w:t xml:space="preserve">), </w:t>
      </w:r>
      <w:r w:rsidR="00586A9D">
        <w:t>n</w:t>
      </w:r>
      <w:r>
        <w:t xml:space="preserve">os moldes do Programa de Aquisição de Alimentos do </w:t>
      </w:r>
      <w:r w:rsidR="00586A9D">
        <w:t>g</w:t>
      </w:r>
      <w:r>
        <w:t xml:space="preserve">overno </w:t>
      </w:r>
      <w:r w:rsidR="00586A9D">
        <w:t>f</w:t>
      </w:r>
      <w:r>
        <w:t xml:space="preserve">ederal, e os agricultores urbanos e periurbanos devidamente cadastrados </w:t>
      </w:r>
      <w:r w:rsidR="00586A9D">
        <w:t>junto ao Executivo Municipal</w:t>
      </w:r>
      <w:r w:rsidR="003B57E4">
        <w:t>.</w:t>
      </w:r>
    </w:p>
    <w:p w14:paraId="012461AC" w14:textId="77777777" w:rsidR="007735EF" w:rsidRDefault="007735EF" w:rsidP="007735EF">
      <w:pPr>
        <w:ind w:firstLine="1418"/>
        <w:jc w:val="both"/>
      </w:pPr>
    </w:p>
    <w:p w14:paraId="377176F1" w14:textId="0BFF3DCC" w:rsidR="00586A9D" w:rsidRDefault="00F13404" w:rsidP="007735EF">
      <w:pPr>
        <w:ind w:firstLine="1418"/>
        <w:jc w:val="both"/>
      </w:pPr>
      <w:r>
        <w:rPr>
          <w:b/>
        </w:rPr>
        <w:t xml:space="preserve">§ 1º </w:t>
      </w:r>
      <w:r w:rsidR="007735EF">
        <w:rPr>
          <w:b/>
        </w:rPr>
        <w:t xml:space="preserve"> </w:t>
      </w:r>
      <w:r w:rsidR="007735EF">
        <w:t xml:space="preserve">Cada produtor poderá comercializar até </w:t>
      </w:r>
      <w:r w:rsidR="00D20F7D">
        <w:t xml:space="preserve">1.794 (mil setecentas e noventa e quatro) Unidades Financeiras Municipais (UFMs) </w:t>
      </w:r>
      <w:r w:rsidR="00586A9D">
        <w:t xml:space="preserve">por </w:t>
      </w:r>
      <w:r w:rsidR="007735EF">
        <w:t>Cadastro de Pessoa Física</w:t>
      </w:r>
      <w:r>
        <w:t>, inclusive em caso de associação ou cooperativa</w:t>
      </w:r>
      <w:r w:rsidR="00586A9D">
        <w:t>.</w:t>
      </w:r>
    </w:p>
    <w:p w14:paraId="179AC54E" w14:textId="77777777" w:rsidR="00586A9D" w:rsidRDefault="00586A9D" w:rsidP="007735EF">
      <w:pPr>
        <w:ind w:firstLine="1418"/>
        <w:jc w:val="both"/>
      </w:pPr>
    </w:p>
    <w:p w14:paraId="6BC3AA38" w14:textId="6B65F8F4" w:rsidR="007735EF" w:rsidRDefault="00586A9D" w:rsidP="007735EF">
      <w:pPr>
        <w:ind w:firstLine="1418"/>
        <w:jc w:val="both"/>
      </w:pPr>
      <w:r w:rsidRPr="003B57E4">
        <w:rPr>
          <w:b/>
        </w:rPr>
        <w:t>§ 2º</w:t>
      </w:r>
      <w:r>
        <w:t xml:space="preserve">  </w:t>
      </w:r>
      <w:r w:rsidR="00F13404">
        <w:t xml:space="preserve">A associação </w:t>
      </w:r>
      <w:r w:rsidR="00923563">
        <w:t>ou cooperativa</w:t>
      </w:r>
      <w:r>
        <w:t xml:space="preserve"> </w:t>
      </w:r>
      <w:r w:rsidR="00F13404">
        <w:t xml:space="preserve">deverá </w:t>
      </w:r>
      <w:r w:rsidR="007735EF">
        <w:t xml:space="preserve">comprovar </w:t>
      </w:r>
      <w:r w:rsidR="00F13404">
        <w:t xml:space="preserve">mediante </w:t>
      </w:r>
      <w:r w:rsidR="007735EF">
        <w:t>nota fiscal do produtor associado a comercialização de produção própria.</w:t>
      </w:r>
    </w:p>
    <w:p w14:paraId="055A8C27" w14:textId="77777777" w:rsidR="007735EF" w:rsidRDefault="007735EF" w:rsidP="007735EF">
      <w:pPr>
        <w:ind w:firstLine="1418"/>
        <w:jc w:val="both"/>
      </w:pPr>
    </w:p>
    <w:p w14:paraId="7DBF6804" w14:textId="3AEEDC33" w:rsidR="007735EF" w:rsidRDefault="007735EF" w:rsidP="007735EF">
      <w:pPr>
        <w:ind w:firstLine="1418"/>
        <w:jc w:val="both"/>
      </w:pPr>
      <w:r w:rsidRPr="007735EF">
        <w:rPr>
          <w:b/>
        </w:rPr>
        <w:t>Art. 3</w:t>
      </w:r>
      <w:r>
        <w:rPr>
          <w:b/>
        </w:rPr>
        <w:t>º</w:t>
      </w:r>
      <w:r>
        <w:t xml:space="preserve">  A aquisição dos produtos </w:t>
      </w:r>
      <w:r w:rsidR="00D20F7D">
        <w:t xml:space="preserve">no Programa instituído por esta Lei </w:t>
      </w:r>
      <w:r>
        <w:t xml:space="preserve">observará, no que couber, procedimentos, critérios, exigências, limites, valores e preços estabelecidos na legislação federal vigente de que trata o Programa de Aquisição de Alimentos </w:t>
      </w:r>
      <w:r w:rsidR="00923563">
        <w:t>(</w:t>
      </w:r>
      <w:r>
        <w:t>PAA</w:t>
      </w:r>
      <w:r w:rsidR="00923563">
        <w:t>)</w:t>
      </w:r>
      <w:r>
        <w:t>.</w:t>
      </w:r>
    </w:p>
    <w:p w14:paraId="0D629AB6" w14:textId="77777777" w:rsidR="007735EF" w:rsidRDefault="007735EF" w:rsidP="007735EF">
      <w:pPr>
        <w:ind w:firstLine="1418"/>
        <w:jc w:val="both"/>
      </w:pPr>
    </w:p>
    <w:p w14:paraId="1DC005E8" w14:textId="23AB92FA" w:rsidR="00836FD6" w:rsidRPr="00D167BA" w:rsidRDefault="00C27B67">
      <w:pPr>
        <w:ind w:firstLine="1418"/>
        <w:jc w:val="both"/>
      </w:pPr>
      <w:r w:rsidRPr="00D167BA">
        <w:rPr>
          <w:b/>
        </w:rPr>
        <w:t xml:space="preserve">Art. </w:t>
      </w:r>
      <w:r w:rsidR="003B57E4">
        <w:rPr>
          <w:b/>
        </w:rPr>
        <w:t>4</w:t>
      </w:r>
      <w:r w:rsidR="00DB46E6">
        <w:rPr>
          <w:b/>
        </w:rPr>
        <w:t>º</w:t>
      </w:r>
      <w:r w:rsidRPr="00D167BA">
        <w:rPr>
          <w:b/>
        </w:rPr>
        <w:t xml:space="preserve"> </w:t>
      </w:r>
      <w:r w:rsidRPr="00D167BA">
        <w:t xml:space="preserve"> Esta Lei entra em vigor na data de sua publicação.</w:t>
      </w:r>
    </w:p>
    <w:p w14:paraId="64DAFD04" w14:textId="77777777" w:rsidR="00836FD6" w:rsidRDefault="00836FD6">
      <w:pPr>
        <w:jc w:val="both"/>
      </w:pPr>
    </w:p>
    <w:p w14:paraId="0847C8DC" w14:textId="77777777" w:rsidR="003B57E4" w:rsidRDefault="003B57E4">
      <w:pPr>
        <w:jc w:val="both"/>
      </w:pPr>
    </w:p>
    <w:p w14:paraId="44F14CE1" w14:textId="77777777" w:rsidR="003B57E4" w:rsidRDefault="003B57E4">
      <w:pPr>
        <w:jc w:val="both"/>
      </w:pPr>
    </w:p>
    <w:p w14:paraId="781F2CFA" w14:textId="77777777" w:rsidR="003B57E4" w:rsidRDefault="003B57E4">
      <w:pPr>
        <w:jc w:val="both"/>
      </w:pPr>
    </w:p>
    <w:p w14:paraId="5F0D5978" w14:textId="77777777" w:rsidR="003B57E4" w:rsidRDefault="003B57E4">
      <w:pPr>
        <w:jc w:val="both"/>
      </w:pPr>
    </w:p>
    <w:p w14:paraId="40297B76" w14:textId="7655340B" w:rsidR="00836FD6" w:rsidRPr="007735EF" w:rsidRDefault="007735EF">
      <w:pPr>
        <w:pStyle w:val="Default"/>
        <w:jc w:val="both"/>
        <w:rPr>
          <w:sz w:val="20"/>
          <w:szCs w:val="20"/>
        </w:rPr>
      </w:pPr>
      <w:r w:rsidRPr="007735EF">
        <w:rPr>
          <w:sz w:val="20"/>
          <w:szCs w:val="20"/>
        </w:rPr>
        <w:t>/TAM</w:t>
      </w:r>
    </w:p>
    <w:sectPr w:rsidR="00836FD6" w:rsidRPr="007735EF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CC72" w16cex:dateUtc="2021-05-25T04:08:00Z"/>
  <w16cex:commentExtensible w16cex:durableId="2456CC83" w16cex:dateUtc="2021-05-25T04:08:00Z"/>
  <w16cex:commentExtensible w16cex:durableId="2456CD93" w16cex:dateUtc="2021-05-25T04:12:00Z"/>
  <w16cex:commentExtensible w16cex:durableId="2457E2F9" w16cex:dateUtc="2021-05-25T23:56:00Z"/>
  <w16cex:commentExtensible w16cex:durableId="2457E993" w16cex:dateUtc="2021-05-26T00:24:00Z"/>
  <w16cex:commentExtensible w16cex:durableId="2457EBF2" w16cex:dateUtc="2021-05-26T0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EE4A66" w16cid:durableId="2456CC72"/>
  <w16cid:commentId w16cid:paraId="136F3CD2" w16cid:durableId="2456CC83"/>
  <w16cid:commentId w16cid:paraId="10AD17CA" w16cid:durableId="2456C41A"/>
  <w16cid:commentId w16cid:paraId="3DBBA8A5" w16cid:durableId="2456CD93"/>
  <w16cid:commentId w16cid:paraId="61D5AB91" w16cid:durableId="2456C41B"/>
  <w16cid:commentId w16cid:paraId="19B47DBB" w16cid:durableId="2457E2F9"/>
  <w16cid:commentId w16cid:paraId="339B5766" w16cid:durableId="2456C41C"/>
  <w16cid:commentId w16cid:paraId="2C2B01F1" w16cid:durableId="2457E993"/>
  <w16cid:commentId w16cid:paraId="16D249A6" w16cid:durableId="2457EB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2687D" w14:textId="77777777" w:rsidR="009728D8" w:rsidRDefault="009728D8">
      <w:r>
        <w:separator/>
      </w:r>
    </w:p>
  </w:endnote>
  <w:endnote w:type="continuationSeparator" w:id="0">
    <w:p w14:paraId="77470017" w14:textId="77777777" w:rsidR="009728D8" w:rsidRDefault="0097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2BC64" w14:textId="77777777" w:rsidR="009728D8" w:rsidRDefault="009728D8">
      <w:r>
        <w:separator/>
      </w:r>
    </w:p>
  </w:footnote>
  <w:footnote w:type="continuationSeparator" w:id="0">
    <w:p w14:paraId="2275E9EA" w14:textId="77777777" w:rsidR="009728D8" w:rsidRDefault="0097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B57E4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184C6FD3" w:rsidR="00836FD6" w:rsidRDefault="00C27B67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7735EF">
      <w:rPr>
        <w:b/>
        <w:bCs/>
      </w:rPr>
      <w:t>194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083253C5" w:rsidR="00836FD6" w:rsidRDefault="002C72E4">
    <w:pPr>
      <w:pStyle w:val="Cabealho"/>
      <w:jc w:val="right"/>
    </w:pPr>
    <w:r>
      <w:rPr>
        <w:b/>
        <w:bCs/>
      </w:rPr>
      <w:t>PLL</w:t>
    </w:r>
    <w:r w:rsidR="007735EF">
      <w:rPr>
        <w:b/>
        <w:bCs/>
      </w:rPr>
      <w:t xml:space="preserve">     Nº     05</w:t>
    </w:r>
    <w:r w:rsidR="003B57E4">
      <w:rPr>
        <w:b/>
        <w:bCs/>
      </w:rPr>
      <w:t>9</w:t>
    </w:r>
    <w:r>
      <w:rPr>
        <w:b/>
        <w:bCs/>
      </w:rPr>
      <w:t>/21</w:t>
    </w: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D6"/>
    <w:rsid w:val="00016F28"/>
    <w:rsid w:val="000403A8"/>
    <w:rsid w:val="00055F3F"/>
    <w:rsid w:val="00090408"/>
    <w:rsid w:val="00094CC7"/>
    <w:rsid w:val="00105F17"/>
    <w:rsid w:val="001267BD"/>
    <w:rsid w:val="001379C5"/>
    <w:rsid w:val="00175D3A"/>
    <w:rsid w:val="00185057"/>
    <w:rsid w:val="001904FA"/>
    <w:rsid w:val="001A48F2"/>
    <w:rsid w:val="00214B5B"/>
    <w:rsid w:val="002335B0"/>
    <w:rsid w:val="00280CC1"/>
    <w:rsid w:val="002914CF"/>
    <w:rsid w:val="002C6660"/>
    <w:rsid w:val="002C72E4"/>
    <w:rsid w:val="002E085B"/>
    <w:rsid w:val="002F769A"/>
    <w:rsid w:val="00313AE6"/>
    <w:rsid w:val="00347C5B"/>
    <w:rsid w:val="003662D4"/>
    <w:rsid w:val="00370CC4"/>
    <w:rsid w:val="0037170B"/>
    <w:rsid w:val="0037268D"/>
    <w:rsid w:val="0039625D"/>
    <w:rsid w:val="003B57E4"/>
    <w:rsid w:val="003D3E4C"/>
    <w:rsid w:val="003E398D"/>
    <w:rsid w:val="003F4AD2"/>
    <w:rsid w:val="00405134"/>
    <w:rsid w:val="00434798"/>
    <w:rsid w:val="004A557D"/>
    <w:rsid w:val="004D075E"/>
    <w:rsid w:val="004D619B"/>
    <w:rsid w:val="004D6B86"/>
    <w:rsid w:val="00586A9D"/>
    <w:rsid w:val="00593719"/>
    <w:rsid w:val="005C1B42"/>
    <w:rsid w:val="006163B8"/>
    <w:rsid w:val="006326A7"/>
    <w:rsid w:val="00637BD5"/>
    <w:rsid w:val="00642756"/>
    <w:rsid w:val="0066571C"/>
    <w:rsid w:val="0072511A"/>
    <w:rsid w:val="007533F3"/>
    <w:rsid w:val="007735EF"/>
    <w:rsid w:val="007B5A87"/>
    <w:rsid w:val="007C3A82"/>
    <w:rsid w:val="00801137"/>
    <w:rsid w:val="00802658"/>
    <w:rsid w:val="00836FD6"/>
    <w:rsid w:val="0084647A"/>
    <w:rsid w:val="0088371A"/>
    <w:rsid w:val="008A4493"/>
    <w:rsid w:val="008F19D9"/>
    <w:rsid w:val="00904031"/>
    <w:rsid w:val="009160D3"/>
    <w:rsid w:val="00916846"/>
    <w:rsid w:val="00923563"/>
    <w:rsid w:val="00926F5B"/>
    <w:rsid w:val="009311EB"/>
    <w:rsid w:val="009365A8"/>
    <w:rsid w:val="009413E4"/>
    <w:rsid w:val="009515B4"/>
    <w:rsid w:val="009520E3"/>
    <w:rsid w:val="0095452D"/>
    <w:rsid w:val="009615BC"/>
    <w:rsid w:val="009728D8"/>
    <w:rsid w:val="009B3E54"/>
    <w:rsid w:val="009F5205"/>
    <w:rsid w:val="00A02BFA"/>
    <w:rsid w:val="00A15FEB"/>
    <w:rsid w:val="00A37392"/>
    <w:rsid w:val="00A519F0"/>
    <w:rsid w:val="00A944E5"/>
    <w:rsid w:val="00AA3198"/>
    <w:rsid w:val="00AB068E"/>
    <w:rsid w:val="00AC42CC"/>
    <w:rsid w:val="00B133C0"/>
    <w:rsid w:val="00B169DA"/>
    <w:rsid w:val="00B25F27"/>
    <w:rsid w:val="00B50168"/>
    <w:rsid w:val="00B56D88"/>
    <w:rsid w:val="00BA7FA4"/>
    <w:rsid w:val="00BB72F1"/>
    <w:rsid w:val="00BF2C7C"/>
    <w:rsid w:val="00C0657A"/>
    <w:rsid w:val="00C10A47"/>
    <w:rsid w:val="00C27B67"/>
    <w:rsid w:val="00C32368"/>
    <w:rsid w:val="00CC4046"/>
    <w:rsid w:val="00D06A9A"/>
    <w:rsid w:val="00D167BA"/>
    <w:rsid w:val="00D20F7D"/>
    <w:rsid w:val="00D32417"/>
    <w:rsid w:val="00D602A4"/>
    <w:rsid w:val="00D751D8"/>
    <w:rsid w:val="00D84E7F"/>
    <w:rsid w:val="00DB0BA1"/>
    <w:rsid w:val="00DB1F7E"/>
    <w:rsid w:val="00DB46E6"/>
    <w:rsid w:val="00DF34FF"/>
    <w:rsid w:val="00DF4464"/>
    <w:rsid w:val="00E1332B"/>
    <w:rsid w:val="00E21D27"/>
    <w:rsid w:val="00E32F68"/>
    <w:rsid w:val="00E54202"/>
    <w:rsid w:val="00E946A4"/>
    <w:rsid w:val="00EB32B6"/>
    <w:rsid w:val="00EC3F01"/>
    <w:rsid w:val="00EC6371"/>
    <w:rsid w:val="00EC7B85"/>
    <w:rsid w:val="00EE23CD"/>
    <w:rsid w:val="00F13404"/>
    <w:rsid w:val="00F30535"/>
    <w:rsid w:val="00F34E75"/>
    <w:rsid w:val="00F41E1A"/>
    <w:rsid w:val="00F560BB"/>
    <w:rsid w:val="00F701FF"/>
    <w:rsid w:val="00F81F10"/>
    <w:rsid w:val="00F9164F"/>
    <w:rsid w:val="00FA7363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AFA3-5648-40AE-94B1-E2988DFC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Redator</cp:lastModifiedBy>
  <cp:revision>21</cp:revision>
  <cp:lastPrinted>2015-02-24T14:27:00Z</cp:lastPrinted>
  <dcterms:created xsi:type="dcterms:W3CDTF">2021-05-20T22:11:00Z</dcterms:created>
  <dcterms:modified xsi:type="dcterms:W3CDTF">2021-05-27T01:34:00Z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