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60A85" w14:textId="77777777" w:rsidR="00836FD6" w:rsidRDefault="00C27B67">
      <w:pPr>
        <w:jc w:val="center"/>
      </w:pPr>
      <w:r>
        <w:t>EXPOSIÇÃO DE MOTIVOS</w:t>
      </w:r>
    </w:p>
    <w:p w14:paraId="18BE5B9F" w14:textId="77777777" w:rsidR="00836FD6" w:rsidRDefault="00836FD6">
      <w:pPr>
        <w:jc w:val="center"/>
        <w:rPr>
          <w:bCs/>
          <w:color w:val="000000"/>
        </w:rPr>
      </w:pPr>
    </w:p>
    <w:p w14:paraId="44995AA4" w14:textId="77777777" w:rsidR="00BB72F1" w:rsidRDefault="00BB72F1">
      <w:pPr>
        <w:jc w:val="center"/>
        <w:rPr>
          <w:bCs/>
          <w:color w:val="000000"/>
        </w:rPr>
      </w:pPr>
    </w:p>
    <w:p w14:paraId="56894D0D" w14:textId="2313492A" w:rsidR="00785919" w:rsidRPr="00785919" w:rsidRDefault="00785919" w:rsidP="00785919">
      <w:pPr>
        <w:ind w:firstLine="1418"/>
        <w:jc w:val="both"/>
        <w:rPr>
          <w:rFonts w:eastAsia="Calibri"/>
          <w:lang w:eastAsia="en-US"/>
        </w:rPr>
      </w:pPr>
      <w:r w:rsidRPr="00785919">
        <w:rPr>
          <w:rFonts w:eastAsia="Calibri"/>
          <w:lang w:eastAsia="en-US"/>
        </w:rPr>
        <w:t>Organizações</w:t>
      </w:r>
      <w:r w:rsidR="00A1383A">
        <w:rPr>
          <w:rFonts w:eastAsia="Calibri"/>
          <w:lang w:eastAsia="en-US"/>
        </w:rPr>
        <w:t>,</w:t>
      </w:r>
      <w:r w:rsidRPr="00785919">
        <w:rPr>
          <w:rFonts w:eastAsia="Calibri"/>
          <w:lang w:eastAsia="en-US"/>
        </w:rPr>
        <w:t xml:space="preserve"> como a Associação Internacional de Lésbicas, Gays, Bissexuais, Transexuais e Intersexuais para a América Latina e o Caribe (ILGA-LAC)</w:t>
      </w:r>
      <w:r w:rsidR="00A1383A">
        <w:rPr>
          <w:rFonts w:eastAsia="Calibri"/>
          <w:lang w:eastAsia="en-US"/>
        </w:rPr>
        <w:t>, e</w:t>
      </w:r>
      <w:r w:rsidRPr="00785919">
        <w:rPr>
          <w:rFonts w:eastAsia="Calibri"/>
          <w:lang w:eastAsia="en-US"/>
        </w:rPr>
        <w:t xml:space="preserve"> órgãos internacionais</w:t>
      </w:r>
      <w:r w:rsidR="00A1383A">
        <w:rPr>
          <w:rFonts w:eastAsia="Calibri"/>
          <w:lang w:eastAsia="en-US"/>
        </w:rPr>
        <w:t>,</w:t>
      </w:r>
      <w:r w:rsidRPr="00785919">
        <w:rPr>
          <w:rFonts w:eastAsia="Calibri"/>
          <w:lang w:eastAsia="en-US"/>
        </w:rPr>
        <w:t xml:space="preserve"> como as Nações Unidas e a Comissão Interamericana de Direitos Humanos (CIDH)</w:t>
      </w:r>
      <w:r w:rsidR="00A1383A">
        <w:rPr>
          <w:rFonts w:eastAsia="Calibri"/>
          <w:lang w:eastAsia="en-US"/>
        </w:rPr>
        <w:t>,</w:t>
      </w:r>
      <w:r w:rsidRPr="00785919">
        <w:rPr>
          <w:rFonts w:eastAsia="Calibri"/>
          <w:lang w:eastAsia="en-US"/>
        </w:rPr>
        <w:t xml:space="preserve"> alertam regularmente a respeito da violência sistemática praticada contra pessoas LGBTQIA+</w:t>
      </w:r>
      <w:r w:rsidR="00AC5084">
        <w:rPr>
          <w:rFonts w:eastAsia="Calibri"/>
          <w:lang w:eastAsia="en-US"/>
        </w:rPr>
        <w:t>.</w:t>
      </w:r>
    </w:p>
    <w:p w14:paraId="7B4AEE6B" w14:textId="77777777" w:rsidR="007C3DE2" w:rsidRDefault="007C3DE2" w:rsidP="00785919">
      <w:pPr>
        <w:ind w:firstLine="1418"/>
        <w:jc w:val="both"/>
        <w:rPr>
          <w:rFonts w:eastAsia="Calibri"/>
          <w:lang w:eastAsia="en-US"/>
        </w:rPr>
      </w:pPr>
    </w:p>
    <w:p w14:paraId="6C5DCEA0" w14:textId="063056E5" w:rsidR="00785919" w:rsidRPr="00785919" w:rsidRDefault="007A7774" w:rsidP="00785919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</w:t>
      </w:r>
      <w:r w:rsidR="00785919" w:rsidRPr="00785919">
        <w:rPr>
          <w:rFonts w:eastAsia="Calibri"/>
          <w:lang w:eastAsia="en-US"/>
        </w:rPr>
        <w:t>ma estatística divulgada pelo Grupo Gay da Bahia (GGB)</w:t>
      </w:r>
      <w:r w:rsidR="00A1383A">
        <w:rPr>
          <w:rFonts w:eastAsia="Calibri"/>
          <w:lang w:eastAsia="en-US"/>
        </w:rPr>
        <w:t>,</w:t>
      </w:r>
      <w:r w:rsidR="00785919" w:rsidRPr="00785919">
        <w:rPr>
          <w:rFonts w:eastAsia="Calibri"/>
          <w:lang w:eastAsia="en-US"/>
        </w:rPr>
        <w:t xml:space="preserve"> em maio de 2019</w:t>
      </w:r>
      <w:r w:rsidR="00A1383A">
        <w:rPr>
          <w:rFonts w:eastAsia="Calibri"/>
          <w:lang w:eastAsia="en-US"/>
        </w:rPr>
        <w:t>,</w:t>
      </w:r>
      <w:r w:rsidR="00785919" w:rsidRPr="00785919">
        <w:rPr>
          <w:rFonts w:eastAsia="Calibri"/>
          <w:lang w:eastAsia="en-US"/>
        </w:rPr>
        <w:t xml:space="preserve"> mostra que o Brasil registra uma morte por homofobia a cada 23 horas. Ainda</w:t>
      </w:r>
      <w:r w:rsidR="00A1383A">
        <w:rPr>
          <w:rFonts w:eastAsia="Calibri"/>
          <w:lang w:eastAsia="en-US"/>
        </w:rPr>
        <w:t>,</w:t>
      </w:r>
      <w:r w:rsidR="00785919" w:rsidRPr="00785919">
        <w:rPr>
          <w:rFonts w:eastAsia="Calibri"/>
          <w:lang w:eastAsia="en-US"/>
        </w:rPr>
        <w:t xml:space="preserve"> sobre estatísticas, estamos falando do país que mais mata travestis e transexuais em todo o mundo, conforme aponta estudo publicado pela Associação Nacional de Travestis e Transexuais (Antra) em janeiro de 2020.</w:t>
      </w:r>
    </w:p>
    <w:p w14:paraId="51519511" w14:textId="77777777" w:rsidR="007C3DE2" w:rsidRDefault="007C3DE2" w:rsidP="00785919">
      <w:pPr>
        <w:ind w:firstLine="1418"/>
        <w:jc w:val="both"/>
        <w:rPr>
          <w:rFonts w:eastAsia="Calibri"/>
          <w:lang w:eastAsia="en-US"/>
        </w:rPr>
      </w:pPr>
    </w:p>
    <w:p w14:paraId="65CCC755" w14:textId="0256EFC0" w:rsidR="00785919" w:rsidRPr="00785919" w:rsidRDefault="00785919" w:rsidP="00785919">
      <w:pPr>
        <w:ind w:firstLine="1418"/>
        <w:jc w:val="both"/>
        <w:rPr>
          <w:rFonts w:eastAsia="Calibri"/>
          <w:lang w:eastAsia="en-US"/>
        </w:rPr>
      </w:pPr>
      <w:r w:rsidRPr="00785919">
        <w:rPr>
          <w:rFonts w:eastAsia="Calibri"/>
          <w:lang w:eastAsia="en-US"/>
        </w:rPr>
        <w:t>Pesquisa realizada pela plataforma Gênero e Número</w:t>
      </w:r>
      <w:r w:rsidR="00A1383A">
        <w:rPr>
          <w:rFonts w:eastAsia="Calibri"/>
          <w:lang w:eastAsia="en-US"/>
        </w:rPr>
        <w:t>,</w:t>
      </w:r>
      <w:r w:rsidRPr="00785919">
        <w:rPr>
          <w:rFonts w:eastAsia="Calibri"/>
          <w:lang w:eastAsia="en-US"/>
        </w:rPr>
        <w:t xml:space="preserve"> nas cidades de São Paulo, Rio de Janeiro e Salvador, na qual foram ouvidas 400 pessoas sobre suas percepções sobre violência(s) contra </w:t>
      </w:r>
      <w:r w:rsidR="002C0B11">
        <w:rPr>
          <w:rFonts w:eastAsia="Calibri"/>
          <w:lang w:eastAsia="en-US"/>
        </w:rPr>
        <w:t>LGBTQIA+</w:t>
      </w:r>
      <w:r w:rsidRPr="00785919">
        <w:rPr>
          <w:rFonts w:eastAsia="Calibri"/>
          <w:lang w:eastAsia="en-US"/>
        </w:rPr>
        <w:t xml:space="preserve"> no período eleitoral e violência(s) contra </w:t>
      </w:r>
      <w:r w:rsidR="002C0B11">
        <w:rPr>
          <w:rFonts w:eastAsia="Calibri"/>
          <w:lang w:eastAsia="en-US"/>
        </w:rPr>
        <w:t>LGBTQIA+</w:t>
      </w:r>
      <w:r w:rsidRPr="00785919">
        <w:rPr>
          <w:rFonts w:eastAsia="Calibri"/>
          <w:lang w:eastAsia="en-US"/>
        </w:rPr>
        <w:t xml:space="preserve"> nas redes sociais, indica que o</w:t>
      </w:r>
      <w:r w:rsidR="007A7774">
        <w:rPr>
          <w:rFonts w:eastAsia="Calibri"/>
          <w:lang w:eastAsia="en-US"/>
        </w:rPr>
        <w:t>s</w:t>
      </w:r>
      <w:r w:rsidRPr="00785919">
        <w:rPr>
          <w:rFonts w:eastAsia="Calibri"/>
          <w:lang w:eastAsia="en-US"/>
        </w:rPr>
        <w:t xml:space="preserve"> principa</w:t>
      </w:r>
      <w:r w:rsidR="007A7774">
        <w:rPr>
          <w:rFonts w:eastAsia="Calibri"/>
          <w:lang w:eastAsia="en-US"/>
        </w:rPr>
        <w:t>is</w:t>
      </w:r>
      <w:r w:rsidRPr="00785919">
        <w:rPr>
          <w:rFonts w:eastAsia="Calibri"/>
          <w:lang w:eastAsia="en-US"/>
        </w:rPr>
        <w:t xml:space="preserve"> cenário</w:t>
      </w:r>
      <w:r w:rsidR="007A7774">
        <w:rPr>
          <w:rFonts w:eastAsia="Calibri"/>
          <w:lang w:eastAsia="en-US"/>
        </w:rPr>
        <w:t>s</w:t>
      </w:r>
      <w:r w:rsidRPr="00785919">
        <w:rPr>
          <w:rFonts w:eastAsia="Calibri"/>
          <w:lang w:eastAsia="en-US"/>
        </w:rPr>
        <w:t xml:space="preserve"> de violências foram </w:t>
      </w:r>
      <w:r w:rsidR="0051281C">
        <w:rPr>
          <w:rFonts w:eastAsia="Calibri"/>
          <w:lang w:eastAsia="en-US"/>
        </w:rPr>
        <w:t>a</w:t>
      </w:r>
      <w:r w:rsidRPr="00785919">
        <w:rPr>
          <w:rFonts w:eastAsia="Calibri"/>
          <w:lang w:eastAsia="en-US"/>
        </w:rPr>
        <w:t xml:space="preserve">s ruas e </w:t>
      </w:r>
      <w:r w:rsidR="0051281C">
        <w:rPr>
          <w:rFonts w:eastAsia="Calibri"/>
          <w:lang w:eastAsia="en-US"/>
        </w:rPr>
        <w:t xml:space="preserve">os </w:t>
      </w:r>
      <w:r w:rsidRPr="00785919">
        <w:rPr>
          <w:rFonts w:eastAsia="Calibri"/>
          <w:lang w:eastAsia="en-US"/>
        </w:rPr>
        <w:t>locais públicos (83% dos casos), enquanto espaços familiares chegaram a 38,5%.</w:t>
      </w:r>
    </w:p>
    <w:p w14:paraId="6E1F659A" w14:textId="77777777" w:rsidR="007C3DE2" w:rsidRDefault="007C3DE2">
      <w:pPr>
        <w:ind w:firstLine="1418"/>
        <w:jc w:val="both"/>
        <w:rPr>
          <w:rFonts w:eastAsia="Calibri"/>
          <w:lang w:eastAsia="en-US"/>
        </w:rPr>
      </w:pPr>
    </w:p>
    <w:p w14:paraId="2CB6997F" w14:textId="22679ABA" w:rsidR="00836FD6" w:rsidRDefault="00785919">
      <w:pPr>
        <w:ind w:firstLine="1418"/>
        <w:jc w:val="both"/>
      </w:pPr>
      <w:r w:rsidRPr="00785919">
        <w:rPr>
          <w:rFonts w:eastAsia="Calibri"/>
          <w:lang w:eastAsia="en-US"/>
        </w:rPr>
        <w:t xml:space="preserve">A implantação de uma </w:t>
      </w:r>
      <w:r w:rsidR="0050278B">
        <w:rPr>
          <w:rFonts w:eastAsia="Calibri"/>
          <w:lang w:eastAsia="en-US"/>
        </w:rPr>
        <w:t>c</w:t>
      </w:r>
      <w:r w:rsidRPr="00785919">
        <w:rPr>
          <w:rFonts w:eastAsia="Calibri"/>
          <w:lang w:eastAsia="en-US"/>
        </w:rPr>
        <w:t xml:space="preserve">asa de </w:t>
      </w:r>
      <w:r w:rsidR="0050278B">
        <w:rPr>
          <w:rFonts w:eastAsia="Calibri"/>
          <w:lang w:eastAsia="en-US"/>
        </w:rPr>
        <w:t>a</w:t>
      </w:r>
      <w:r w:rsidRPr="00785919">
        <w:rPr>
          <w:rFonts w:eastAsia="Calibri"/>
          <w:lang w:eastAsia="en-US"/>
        </w:rPr>
        <w:t>colhimento demonstra</w:t>
      </w:r>
      <w:r w:rsidR="0050278B">
        <w:rPr>
          <w:rFonts w:eastAsia="Calibri"/>
          <w:lang w:eastAsia="en-US"/>
        </w:rPr>
        <w:t>-se</w:t>
      </w:r>
      <w:r w:rsidRPr="00785919">
        <w:rPr>
          <w:rFonts w:eastAsia="Calibri"/>
          <w:lang w:eastAsia="en-US"/>
        </w:rPr>
        <w:t xml:space="preserve"> relevante quando considerados os dados acima e torna</w:t>
      </w:r>
      <w:r w:rsidR="0050278B">
        <w:rPr>
          <w:rFonts w:eastAsia="Calibri"/>
          <w:lang w:eastAsia="en-US"/>
        </w:rPr>
        <w:t>-se</w:t>
      </w:r>
      <w:r w:rsidRPr="00785919">
        <w:rPr>
          <w:rFonts w:eastAsia="Calibri"/>
          <w:lang w:eastAsia="en-US"/>
        </w:rPr>
        <w:t xml:space="preserve"> urgente quando observados os resultados de outras iniciativas semelhantes, quais sejam: o Centro de Cidadania LGBTQIA+</w:t>
      </w:r>
      <w:r w:rsidR="00A1383A">
        <w:rPr>
          <w:rFonts w:eastAsia="Calibri"/>
          <w:lang w:eastAsia="en-US"/>
        </w:rPr>
        <w:t>,</w:t>
      </w:r>
      <w:r w:rsidRPr="00785919">
        <w:rPr>
          <w:rFonts w:eastAsia="Calibri"/>
          <w:lang w:eastAsia="en-US"/>
        </w:rPr>
        <w:t xml:space="preserve"> localizado em Recife</w:t>
      </w:r>
      <w:r w:rsidR="0050278B">
        <w:rPr>
          <w:rFonts w:eastAsia="Calibri"/>
          <w:lang w:eastAsia="en-US"/>
        </w:rPr>
        <w:t>, Pernambuco;</w:t>
      </w:r>
      <w:r w:rsidRPr="00785919">
        <w:rPr>
          <w:rFonts w:eastAsia="Calibri"/>
          <w:lang w:eastAsia="en-US"/>
        </w:rPr>
        <w:t xml:space="preserve"> a Casa Transformar</w:t>
      </w:r>
      <w:r w:rsidR="0050278B">
        <w:rPr>
          <w:rFonts w:eastAsia="Calibri"/>
          <w:lang w:eastAsia="en-US"/>
        </w:rPr>
        <w:t>,</w:t>
      </w:r>
      <w:r w:rsidRPr="00785919">
        <w:rPr>
          <w:rFonts w:eastAsia="Calibri"/>
          <w:lang w:eastAsia="en-US"/>
        </w:rPr>
        <w:t xml:space="preserve"> em Fortaleza</w:t>
      </w:r>
      <w:r w:rsidR="0050278B">
        <w:rPr>
          <w:rFonts w:eastAsia="Calibri"/>
          <w:lang w:eastAsia="en-US"/>
        </w:rPr>
        <w:t xml:space="preserve">, </w:t>
      </w:r>
      <w:r w:rsidRPr="00785919">
        <w:rPr>
          <w:rFonts w:eastAsia="Calibri"/>
          <w:lang w:eastAsia="en-US"/>
        </w:rPr>
        <w:t>C</w:t>
      </w:r>
      <w:r w:rsidR="0050278B">
        <w:rPr>
          <w:rFonts w:eastAsia="Calibri"/>
          <w:lang w:eastAsia="en-US"/>
        </w:rPr>
        <w:t>eará;</w:t>
      </w:r>
      <w:r w:rsidRPr="00785919">
        <w:rPr>
          <w:rFonts w:eastAsia="Calibri"/>
          <w:lang w:eastAsia="en-US"/>
        </w:rPr>
        <w:t xml:space="preserve"> a Casa Miga de Manaus</w:t>
      </w:r>
      <w:r w:rsidR="0050278B">
        <w:rPr>
          <w:rFonts w:eastAsia="Calibri"/>
          <w:lang w:eastAsia="en-US"/>
        </w:rPr>
        <w:t xml:space="preserve">, </w:t>
      </w:r>
      <w:r w:rsidR="00A1383A">
        <w:rPr>
          <w:rFonts w:eastAsia="Calibri"/>
          <w:lang w:eastAsia="en-US"/>
        </w:rPr>
        <w:t xml:space="preserve">no </w:t>
      </w:r>
      <w:r w:rsidR="0050278B">
        <w:rPr>
          <w:rFonts w:eastAsia="Calibri"/>
          <w:lang w:eastAsia="en-US"/>
        </w:rPr>
        <w:t>Amazonas; e</w:t>
      </w:r>
      <w:r w:rsidRPr="00785919">
        <w:rPr>
          <w:rFonts w:eastAsia="Calibri"/>
          <w:lang w:eastAsia="en-US"/>
        </w:rPr>
        <w:t xml:space="preserve"> a Casa 1</w:t>
      </w:r>
      <w:r w:rsidR="00A1383A">
        <w:rPr>
          <w:rFonts w:eastAsia="Calibri"/>
          <w:lang w:eastAsia="en-US"/>
        </w:rPr>
        <w:t>,</w:t>
      </w:r>
      <w:r w:rsidRPr="00785919">
        <w:rPr>
          <w:rFonts w:eastAsia="Calibri"/>
          <w:lang w:eastAsia="en-US"/>
        </w:rPr>
        <w:t xml:space="preserve"> em São Paulo, entre outras.</w:t>
      </w:r>
    </w:p>
    <w:p w14:paraId="742B7300" w14:textId="77777777" w:rsidR="00836FD6" w:rsidRDefault="00836FD6">
      <w:pPr>
        <w:ind w:firstLine="1418"/>
        <w:jc w:val="both"/>
        <w:rPr>
          <w:rFonts w:eastAsia="Calibri"/>
          <w:lang w:eastAsia="en-US"/>
        </w:rPr>
      </w:pPr>
    </w:p>
    <w:p w14:paraId="41E7CD59" w14:textId="5124C076" w:rsidR="00836FD6" w:rsidRDefault="00C27B67">
      <w:pPr>
        <w:ind w:firstLine="1418"/>
        <w:jc w:val="both"/>
      </w:pPr>
      <w:r>
        <w:rPr>
          <w:rFonts w:eastAsia="Calibri"/>
          <w:lang w:eastAsia="en-US"/>
        </w:rPr>
        <w:t xml:space="preserve">Sala das Sessões, </w:t>
      </w:r>
      <w:r w:rsidR="00785919">
        <w:rPr>
          <w:rFonts w:eastAsia="Calibri"/>
          <w:lang w:eastAsia="en-US"/>
        </w:rPr>
        <w:t>22</w:t>
      </w:r>
      <w:r>
        <w:rPr>
          <w:rFonts w:eastAsia="Calibri"/>
          <w:lang w:eastAsia="en-US"/>
        </w:rPr>
        <w:t xml:space="preserve"> de </w:t>
      </w:r>
      <w:r w:rsidR="001267BD">
        <w:rPr>
          <w:rFonts w:eastAsia="Calibri"/>
          <w:lang w:eastAsia="en-US"/>
        </w:rPr>
        <w:t>fevereiro de 2021</w:t>
      </w:r>
      <w:r>
        <w:rPr>
          <w:rFonts w:eastAsia="Calibri"/>
          <w:lang w:eastAsia="en-US"/>
        </w:rPr>
        <w:t>.</w:t>
      </w:r>
    </w:p>
    <w:p w14:paraId="74BD9D08" w14:textId="77777777" w:rsidR="00836FD6" w:rsidRDefault="00836FD6">
      <w:pPr>
        <w:jc w:val="center"/>
        <w:rPr>
          <w:rFonts w:eastAsia="Calibri"/>
          <w:lang w:eastAsia="en-US"/>
        </w:rPr>
      </w:pPr>
    </w:p>
    <w:p w14:paraId="293E239C" w14:textId="77777777" w:rsidR="00836FD6" w:rsidRDefault="00836FD6">
      <w:pPr>
        <w:jc w:val="center"/>
        <w:rPr>
          <w:rFonts w:eastAsia="Calibri"/>
          <w:lang w:eastAsia="en-US"/>
        </w:rPr>
      </w:pPr>
    </w:p>
    <w:p w14:paraId="4FE8DA22" w14:textId="77777777" w:rsidR="00836FD6" w:rsidRDefault="00836FD6">
      <w:pPr>
        <w:jc w:val="center"/>
        <w:rPr>
          <w:rFonts w:eastAsia="Calibri"/>
          <w:lang w:eastAsia="en-US"/>
        </w:rPr>
      </w:pPr>
    </w:p>
    <w:p w14:paraId="3305289D" w14:textId="77777777" w:rsidR="00836FD6" w:rsidRDefault="00836FD6">
      <w:pPr>
        <w:jc w:val="center"/>
        <w:rPr>
          <w:rFonts w:eastAsia="Calibri"/>
          <w:lang w:eastAsia="en-US"/>
        </w:rPr>
      </w:pPr>
    </w:p>
    <w:p w14:paraId="67F3D5D7" w14:textId="77777777" w:rsidR="00836FD6" w:rsidRDefault="00836FD6">
      <w:pPr>
        <w:jc w:val="center"/>
        <w:rPr>
          <w:rFonts w:eastAsia="Calibri"/>
          <w:lang w:eastAsia="en-US"/>
        </w:rPr>
      </w:pPr>
    </w:p>
    <w:p w14:paraId="105F8BE6" w14:textId="7A95E303" w:rsidR="00836FD6" w:rsidRDefault="00C27B67">
      <w:pPr>
        <w:jc w:val="center"/>
      </w:pPr>
      <w:r>
        <w:rPr>
          <w:rFonts w:eastAsia="Calibri"/>
          <w:lang w:eastAsia="en-US"/>
        </w:rPr>
        <w:t xml:space="preserve">VEREADOR </w:t>
      </w:r>
      <w:r w:rsidR="005C241E">
        <w:rPr>
          <w:rFonts w:eastAsia="Calibri"/>
          <w:lang w:eastAsia="en-US"/>
        </w:rPr>
        <w:t>LEONEL RADDE</w:t>
      </w:r>
      <w:r>
        <w:br w:type="page"/>
      </w:r>
    </w:p>
    <w:p w14:paraId="3C86B485" w14:textId="13FF0AA7" w:rsidR="00836FD6" w:rsidRDefault="00C27B67">
      <w:pPr>
        <w:jc w:val="center"/>
      </w:pPr>
      <w:r>
        <w:rPr>
          <w:b/>
          <w:bCs/>
        </w:rPr>
        <w:lastRenderedPageBreak/>
        <w:t>PROJETO DE LEI</w:t>
      </w:r>
    </w:p>
    <w:p w14:paraId="16C8347A" w14:textId="77777777" w:rsidR="00836FD6" w:rsidRDefault="00836FD6">
      <w:pPr>
        <w:pStyle w:val="Default"/>
        <w:jc w:val="center"/>
        <w:rPr>
          <w:bCs/>
        </w:rPr>
      </w:pPr>
    </w:p>
    <w:p w14:paraId="1991DDDA" w14:textId="77777777" w:rsidR="00836FD6" w:rsidRDefault="00836FD6">
      <w:pPr>
        <w:pStyle w:val="Default"/>
        <w:jc w:val="center"/>
        <w:rPr>
          <w:bCs/>
        </w:rPr>
      </w:pPr>
    </w:p>
    <w:p w14:paraId="0BF8AA26" w14:textId="77777777" w:rsidR="00836FD6" w:rsidRDefault="00836FD6">
      <w:pPr>
        <w:jc w:val="center"/>
      </w:pPr>
    </w:p>
    <w:p w14:paraId="7C41D54F" w14:textId="3A309A67" w:rsidR="00836FD6" w:rsidRDefault="003F2623">
      <w:pPr>
        <w:ind w:left="4253"/>
        <w:jc w:val="both"/>
        <w:rPr>
          <w:b/>
        </w:rPr>
      </w:pPr>
      <w:r>
        <w:rPr>
          <w:b/>
        </w:rPr>
        <w:t>Cria a</w:t>
      </w:r>
      <w:r w:rsidR="0042690B" w:rsidRPr="0042690B">
        <w:rPr>
          <w:b/>
        </w:rPr>
        <w:t xml:space="preserve"> Casa de Acolhimento para a População LGBTQIA+ em situação de violência e vulnerabilidade</w:t>
      </w:r>
      <w:r>
        <w:rPr>
          <w:b/>
        </w:rPr>
        <w:t xml:space="preserve"> no Município de Porto Alegre</w:t>
      </w:r>
      <w:r w:rsidR="0042690B" w:rsidRPr="0042690B">
        <w:rPr>
          <w:b/>
        </w:rPr>
        <w:t>.</w:t>
      </w:r>
    </w:p>
    <w:p w14:paraId="3807295F" w14:textId="77777777" w:rsidR="00836FD6" w:rsidRDefault="00836FD6">
      <w:pPr>
        <w:jc w:val="center"/>
      </w:pPr>
    </w:p>
    <w:p w14:paraId="05CAFF07" w14:textId="77777777" w:rsidR="00836FD6" w:rsidRDefault="00836FD6">
      <w:pPr>
        <w:jc w:val="center"/>
      </w:pPr>
    </w:p>
    <w:p w14:paraId="15EF5F64" w14:textId="00F446BD" w:rsidR="00785919" w:rsidRPr="00A1383A" w:rsidRDefault="00C27B67" w:rsidP="00785919">
      <w:pPr>
        <w:ind w:firstLine="1418"/>
        <w:jc w:val="both"/>
        <w:rPr>
          <w:bCs/>
        </w:rPr>
      </w:pPr>
      <w:r w:rsidRPr="00D167BA">
        <w:rPr>
          <w:b/>
        </w:rPr>
        <w:t>Art. 1º</w:t>
      </w:r>
      <w:r w:rsidRPr="00D167BA">
        <w:t xml:space="preserve">  </w:t>
      </w:r>
      <w:r w:rsidR="00785919" w:rsidRPr="00785919">
        <w:t>Fica criada</w:t>
      </w:r>
      <w:r w:rsidR="003F2623">
        <w:t xml:space="preserve"> </w:t>
      </w:r>
      <w:r w:rsidR="00785919" w:rsidRPr="00785919">
        <w:t xml:space="preserve">a Casa de Acolhimento para a População LGBTQIA </w:t>
      </w:r>
      <w:r w:rsidR="003F2623" w:rsidRPr="005110AD">
        <w:rPr>
          <w:bCs/>
        </w:rPr>
        <w:t>em situação de violência e vulnerabilidade no Município de Porto Alegre.</w:t>
      </w:r>
      <w:r w:rsidR="003F2623" w:rsidRPr="00DC5D0E" w:rsidDel="003F2623">
        <w:rPr>
          <w:bCs/>
        </w:rPr>
        <w:t xml:space="preserve"> </w:t>
      </w:r>
    </w:p>
    <w:p w14:paraId="758B2CED" w14:textId="77777777" w:rsidR="007C3DE2" w:rsidRDefault="007C3DE2" w:rsidP="00785919">
      <w:pPr>
        <w:ind w:firstLine="1418"/>
        <w:jc w:val="both"/>
        <w:rPr>
          <w:b/>
          <w:bCs/>
        </w:rPr>
      </w:pPr>
    </w:p>
    <w:p w14:paraId="1B2B3A00" w14:textId="634D3DC1" w:rsidR="00785919" w:rsidRPr="00785919" w:rsidRDefault="00785919" w:rsidP="00785919">
      <w:pPr>
        <w:ind w:firstLine="1418"/>
        <w:jc w:val="both"/>
      </w:pPr>
      <w:r w:rsidRPr="00785919">
        <w:rPr>
          <w:b/>
          <w:bCs/>
        </w:rPr>
        <w:t>§</w:t>
      </w:r>
      <w:r w:rsidR="00E850B7">
        <w:rPr>
          <w:b/>
          <w:bCs/>
        </w:rPr>
        <w:t xml:space="preserve"> </w:t>
      </w:r>
      <w:r w:rsidRPr="00785919">
        <w:rPr>
          <w:b/>
          <w:bCs/>
        </w:rPr>
        <w:t xml:space="preserve">1º </w:t>
      </w:r>
      <w:r w:rsidR="003F2623">
        <w:rPr>
          <w:b/>
          <w:bCs/>
        </w:rPr>
        <w:t xml:space="preserve"> </w:t>
      </w:r>
      <w:r w:rsidRPr="00785919">
        <w:t xml:space="preserve">Para os efeitos desta </w:t>
      </w:r>
      <w:r w:rsidR="003F2623">
        <w:t>L</w:t>
      </w:r>
      <w:r w:rsidRPr="00785919">
        <w:t>ei, compreende-se como população LGBTQIA+:</w:t>
      </w:r>
    </w:p>
    <w:p w14:paraId="09EA2023" w14:textId="77777777" w:rsidR="007C3DE2" w:rsidRDefault="007C3DE2" w:rsidP="00785919">
      <w:pPr>
        <w:ind w:firstLine="1418"/>
        <w:jc w:val="both"/>
      </w:pPr>
    </w:p>
    <w:p w14:paraId="645CCE17" w14:textId="4AF3E226" w:rsidR="00785919" w:rsidRPr="00785919" w:rsidRDefault="00785919" w:rsidP="00785919">
      <w:pPr>
        <w:ind w:firstLine="1418"/>
        <w:jc w:val="both"/>
      </w:pPr>
      <w:r w:rsidRPr="00785919">
        <w:t xml:space="preserve">I – </w:t>
      </w:r>
      <w:r w:rsidR="003F2623">
        <w:t>a</w:t>
      </w:r>
      <w:r w:rsidRPr="00785919">
        <w:t>s mulheres lésbicas</w:t>
      </w:r>
      <w:r w:rsidR="003F2623">
        <w:t xml:space="preserve">, </w:t>
      </w:r>
      <w:r w:rsidRPr="00785919">
        <w:t>cisgêneras ou transgêneras</w:t>
      </w:r>
      <w:r w:rsidR="007A7774">
        <w:t>,</w:t>
      </w:r>
      <w:r w:rsidRPr="00785919">
        <w:t xml:space="preserve"> que se reconhecem como mulheres e sentem atração sexual ou romântica por outras mulheres;</w:t>
      </w:r>
    </w:p>
    <w:p w14:paraId="20118FC8" w14:textId="77777777" w:rsidR="007C3DE2" w:rsidRDefault="007C3DE2" w:rsidP="00785919">
      <w:pPr>
        <w:ind w:firstLine="1418"/>
        <w:jc w:val="both"/>
      </w:pPr>
    </w:p>
    <w:p w14:paraId="575B3C1E" w14:textId="53C390AB" w:rsidR="00785919" w:rsidRPr="00785919" w:rsidRDefault="00785919" w:rsidP="00785919">
      <w:pPr>
        <w:ind w:firstLine="1418"/>
        <w:jc w:val="both"/>
      </w:pPr>
      <w:r w:rsidRPr="00785919">
        <w:t xml:space="preserve">II – </w:t>
      </w:r>
      <w:r w:rsidR="003F2623">
        <w:t>o</w:t>
      </w:r>
      <w:r w:rsidRPr="00785919">
        <w:t>s homens gays</w:t>
      </w:r>
      <w:r w:rsidR="003F2623">
        <w:t>,</w:t>
      </w:r>
      <w:r w:rsidRPr="00785919">
        <w:t xml:space="preserve"> cisgêneros ou transgêneros</w:t>
      </w:r>
      <w:r w:rsidR="007A7774">
        <w:t>,</w:t>
      </w:r>
      <w:r w:rsidRPr="00785919">
        <w:t xml:space="preserve"> que se reconhecem como homens e sentem atração sexual ou romântica por outros homens;</w:t>
      </w:r>
    </w:p>
    <w:p w14:paraId="26709644" w14:textId="77777777" w:rsidR="007C3DE2" w:rsidRDefault="007C3DE2" w:rsidP="00785919">
      <w:pPr>
        <w:ind w:firstLine="1418"/>
        <w:jc w:val="both"/>
      </w:pPr>
    </w:p>
    <w:p w14:paraId="621E3D16" w14:textId="3951F232" w:rsidR="00785919" w:rsidRPr="00785919" w:rsidRDefault="00785919" w:rsidP="00785919">
      <w:pPr>
        <w:ind w:firstLine="1418"/>
        <w:jc w:val="both"/>
      </w:pPr>
      <w:r w:rsidRPr="00785919">
        <w:t xml:space="preserve">III – </w:t>
      </w:r>
      <w:r w:rsidR="003F2623">
        <w:t>a</w:t>
      </w:r>
      <w:r w:rsidRPr="00785919">
        <w:t>s pessoas bissexuais</w:t>
      </w:r>
      <w:r w:rsidR="003F2623">
        <w:t xml:space="preserve">, </w:t>
      </w:r>
      <w:r w:rsidRPr="00785919">
        <w:t>cisgêneras ou transgêneras</w:t>
      </w:r>
      <w:r w:rsidR="00795876">
        <w:t>,</w:t>
      </w:r>
      <w:r w:rsidRPr="00785919">
        <w:t xml:space="preserve"> que sentem atração sexual</w:t>
      </w:r>
      <w:r w:rsidR="003F2623">
        <w:t xml:space="preserve"> </w:t>
      </w:r>
      <w:r w:rsidRPr="00785919">
        <w:t>ou romântica por homens e mulheres;</w:t>
      </w:r>
    </w:p>
    <w:p w14:paraId="0FD90AF4" w14:textId="77777777" w:rsidR="007C3DE2" w:rsidRDefault="007C3DE2" w:rsidP="00785919">
      <w:pPr>
        <w:ind w:firstLine="1418"/>
        <w:jc w:val="both"/>
      </w:pPr>
    </w:p>
    <w:p w14:paraId="3D1A6E4D" w14:textId="5D7DEB5A" w:rsidR="00785919" w:rsidRPr="00785919" w:rsidRDefault="00785919" w:rsidP="00785919">
      <w:pPr>
        <w:ind w:firstLine="1418"/>
        <w:jc w:val="both"/>
      </w:pPr>
      <w:r w:rsidRPr="00785919">
        <w:t xml:space="preserve">IV – </w:t>
      </w:r>
      <w:r w:rsidR="003F2623">
        <w:t>a</w:t>
      </w:r>
      <w:r w:rsidRPr="00785919">
        <w:t>s pessoas pansexuais</w:t>
      </w:r>
      <w:r w:rsidR="003F2623">
        <w:t>,</w:t>
      </w:r>
      <w:r w:rsidRPr="00785919">
        <w:t xml:space="preserve"> cisgêneras ou transgêneras</w:t>
      </w:r>
      <w:r w:rsidR="00795876">
        <w:t>,</w:t>
      </w:r>
      <w:r w:rsidRPr="00785919">
        <w:t xml:space="preserve"> que sentem atração sexual</w:t>
      </w:r>
      <w:r w:rsidR="003F2623">
        <w:t xml:space="preserve"> </w:t>
      </w:r>
      <w:r w:rsidRPr="00785919">
        <w:t>ou romântica por outros seres humanos, independentemente da identidade de gênero;</w:t>
      </w:r>
    </w:p>
    <w:p w14:paraId="72973F03" w14:textId="77777777" w:rsidR="007C3DE2" w:rsidRDefault="007C3DE2" w:rsidP="00785919">
      <w:pPr>
        <w:ind w:firstLine="1418"/>
        <w:jc w:val="both"/>
      </w:pPr>
    </w:p>
    <w:p w14:paraId="3A065CBC" w14:textId="5F5ABFF3" w:rsidR="00785919" w:rsidRPr="00785919" w:rsidRDefault="00785919" w:rsidP="00785919">
      <w:pPr>
        <w:ind w:firstLine="1418"/>
        <w:jc w:val="both"/>
      </w:pPr>
      <w:r w:rsidRPr="00785919">
        <w:t xml:space="preserve">V – </w:t>
      </w:r>
      <w:r w:rsidR="00E850B7">
        <w:t>a</w:t>
      </w:r>
      <w:r w:rsidRPr="00785919">
        <w:t>s pessoas assexuais que não sentem ou sentem apenas ocasionalmente atração sexual por outras pessoas</w:t>
      </w:r>
      <w:r w:rsidR="00E850B7">
        <w:t>;</w:t>
      </w:r>
    </w:p>
    <w:p w14:paraId="10089BBD" w14:textId="77777777" w:rsidR="007C3DE2" w:rsidRDefault="007C3DE2" w:rsidP="00785919">
      <w:pPr>
        <w:ind w:firstLine="1418"/>
        <w:jc w:val="both"/>
      </w:pPr>
    </w:p>
    <w:p w14:paraId="21206D31" w14:textId="3204F99C" w:rsidR="00785919" w:rsidRPr="00785919" w:rsidRDefault="00785919" w:rsidP="00785919">
      <w:pPr>
        <w:ind w:firstLine="1418"/>
        <w:jc w:val="both"/>
      </w:pPr>
      <w:r w:rsidRPr="00785919">
        <w:t xml:space="preserve">VI – </w:t>
      </w:r>
      <w:r w:rsidR="00E850B7">
        <w:t>a</w:t>
      </w:r>
      <w:r w:rsidRPr="00785919">
        <w:t xml:space="preserve">s pessoas transexuais, travestis e transgêneras, inclusive </w:t>
      </w:r>
      <w:r w:rsidRPr="005110AD">
        <w:rPr>
          <w:i/>
        </w:rPr>
        <w:t>queer</w:t>
      </w:r>
      <w:r w:rsidRPr="00785919">
        <w:t>, não-binárias, agênero e gênero fluido que se reconhecem com um gênero diverso do que lhes foi atribuído ao nascer, com base na classificação dos órgãos sexuais pela ótica do binarismo de gênero</w:t>
      </w:r>
      <w:r w:rsidR="00795876">
        <w:t xml:space="preserve">, como </w:t>
      </w:r>
      <w:r w:rsidRPr="00785919">
        <w:t>homem e mulher</w:t>
      </w:r>
      <w:r w:rsidR="00E850B7">
        <w:t>; e</w:t>
      </w:r>
    </w:p>
    <w:p w14:paraId="7409C2EB" w14:textId="77777777" w:rsidR="00785919" w:rsidRPr="00785919" w:rsidRDefault="00785919" w:rsidP="00785919">
      <w:pPr>
        <w:ind w:firstLine="1418"/>
        <w:jc w:val="both"/>
      </w:pPr>
      <w:r w:rsidRPr="00785919">
        <w:t> </w:t>
      </w:r>
    </w:p>
    <w:p w14:paraId="40885711" w14:textId="3D05772D" w:rsidR="007C3DE2" w:rsidRDefault="00785919" w:rsidP="00785919">
      <w:pPr>
        <w:ind w:firstLine="1418"/>
        <w:jc w:val="both"/>
      </w:pPr>
      <w:r w:rsidRPr="00785919">
        <w:t xml:space="preserve">VII – </w:t>
      </w:r>
      <w:r w:rsidR="004528E4">
        <w:t>a</w:t>
      </w:r>
      <w:r w:rsidRPr="00785919">
        <w:t>s pessoas intersexo que nascem com características biológicas</w:t>
      </w:r>
      <w:r w:rsidR="00B607C5">
        <w:t xml:space="preserve">, </w:t>
      </w:r>
      <w:r w:rsidRPr="00785919">
        <w:t>órgãos sexuais e reprodutivos, níveis hormonais e cromossomos sexuais</w:t>
      </w:r>
      <w:r w:rsidR="00B607C5">
        <w:t xml:space="preserve">, </w:t>
      </w:r>
      <w:r w:rsidRPr="00785919">
        <w:t>que não se encaixam nas categorias tradicionais de sexo feminino e sexo masculino.</w:t>
      </w:r>
    </w:p>
    <w:p w14:paraId="3587B492" w14:textId="287235D8" w:rsidR="00785919" w:rsidRPr="00785919" w:rsidRDefault="00785919" w:rsidP="00785919">
      <w:pPr>
        <w:ind w:firstLine="1418"/>
        <w:jc w:val="both"/>
      </w:pPr>
      <w:r w:rsidRPr="00785919">
        <w:t> </w:t>
      </w:r>
    </w:p>
    <w:p w14:paraId="322720FA" w14:textId="76B7BFEC" w:rsidR="00785919" w:rsidRPr="00785919" w:rsidRDefault="00785919" w:rsidP="00785919">
      <w:pPr>
        <w:ind w:firstLine="1418"/>
        <w:jc w:val="both"/>
      </w:pPr>
      <w:r w:rsidRPr="00785919">
        <w:rPr>
          <w:b/>
          <w:bCs/>
        </w:rPr>
        <w:t>§</w:t>
      </w:r>
      <w:r w:rsidR="00E850B7">
        <w:rPr>
          <w:b/>
          <w:bCs/>
        </w:rPr>
        <w:t xml:space="preserve"> </w:t>
      </w:r>
      <w:r w:rsidRPr="00785919">
        <w:rPr>
          <w:b/>
          <w:bCs/>
        </w:rPr>
        <w:t>2º</w:t>
      </w:r>
      <w:r w:rsidRPr="00785919">
        <w:t xml:space="preserve"> </w:t>
      </w:r>
      <w:r w:rsidR="003F2623">
        <w:t xml:space="preserve"> </w:t>
      </w:r>
      <w:r w:rsidRPr="00785919">
        <w:t xml:space="preserve">Para os efeitos desta </w:t>
      </w:r>
      <w:r w:rsidR="00D54A36">
        <w:t>L</w:t>
      </w:r>
      <w:r w:rsidRPr="00785919">
        <w:t xml:space="preserve">ei, compreende-se como situação de violência aquelas </w:t>
      </w:r>
      <w:r w:rsidR="00B607C5">
        <w:t xml:space="preserve">ações praticadas contra </w:t>
      </w:r>
      <w:r w:rsidRPr="00785919">
        <w:t xml:space="preserve">pessoas vítimas de </w:t>
      </w:r>
      <w:r w:rsidR="00A92F98">
        <w:t>c</w:t>
      </w:r>
      <w:r w:rsidRPr="00785919">
        <w:t xml:space="preserve">rimes de </w:t>
      </w:r>
      <w:r w:rsidR="00A92F98">
        <w:t>ó</w:t>
      </w:r>
      <w:r w:rsidRPr="00785919">
        <w:t>dio motivados por:</w:t>
      </w:r>
    </w:p>
    <w:p w14:paraId="73C916DE" w14:textId="77777777" w:rsidR="007C3DE2" w:rsidRDefault="007C3DE2" w:rsidP="00785919">
      <w:pPr>
        <w:ind w:firstLine="1418"/>
        <w:jc w:val="both"/>
      </w:pPr>
    </w:p>
    <w:p w14:paraId="2228EBCB" w14:textId="413AAE2D" w:rsidR="00785919" w:rsidRPr="00785919" w:rsidRDefault="00785919" w:rsidP="00785919">
      <w:pPr>
        <w:ind w:firstLine="1418"/>
        <w:jc w:val="both"/>
      </w:pPr>
      <w:r w:rsidRPr="00785919">
        <w:t xml:space="preserve">I – </w:t>
      </w:r>
      <w:r w:rsidR="00A92F98">
        <w:t>h</w:t>
      </w:r>
      <w:r w:rsidRPr="00785919">
        <w:t xml:space="preserve">omofobia e </w:t>
      </w:r>
      <w:r w:rsidR="00A92F98">
        <w:t>l</w:t>
      </w:r>
      <w:r w:rsidRPr="00785919">
        <w:t>esbofobia</w:t>
      </w:r>
      <w:r w:rsidR="00A92F98">
        <w:t xml:space="preserve">, entendidas </w:t>
      </w:r>
      <w:r w:rsidR="00A92F98" w:rsidRPr="00A92F98">
        <w:t>como</w:t>
      </w:r>
      <w:r w:rsidRPr="00A92F98">
        <w:t xml:space="preserve"> </w:t>
      </w:r>
      <w:r w:rsidRPr="005110AD">
        <w:t>agressão física, psicológica, sexual ou simbólica</w:t>
      </w:r>
      <w:r w:rsidRPr="00785919">
        <w:t xml:space="preserve"> praticadas contra homens gays e mulheres lésbicas, respectivamente, em razão da orientação sexual;</w:t>
      </w:r>
    </w:p>
    <w:p w14:paraId="1CCDA9A4" w14:textId="77777777" w:rsidR="007C3DE2" w:rsidRDefault="007C3DE2" w:rsidP="00785919">
      <w:pPr>
        <w:ind w:firstLine="1418"/>
        <w:jc w:val="both"/>
      </w:pPr>
    </w:p>
    <w:p w14:paraId="16EA7D7A" w14:textId="37194847" w:rsidR="00785919" w:rsidRPr="00785919" w:rsidRDefault="00785919" w:rsidP="00785919">
      <w:pPr>
        <w:ind w:firstLine="1418"/>
        <w:jc w:val="both"/>
      </w:pPr>
      <w:r w:rsidRPr="00785919">
        <w:t xml:space="preserve">II – </w:t>
      </w:r>
      <w:r w:rsidR="00A92F98">
        <w:t>b</w:t>
      </w:r>
      <w:r w:rsidRPr="00785919">
        <w:t>ifobia</w:t>
      </w:r>
      <w:r w:rsidR="00A92F98">
        <w:t>, entendida como</w:t>
      </w:r>
      <w:r w:rsidRPr="00A92F98">
        <w:t xml:space="preserve"> </w:t>
      </w:r>
      <w:r w:rsidRPr="005110AD">
        <w:t xml:space="preserve">agressão física, psicológica, sexual ou simbólica </w:t>
      </w:r>
      <w:r w:rsidRPr="00785919">
        <w:t>praticadas contra pessoas bissexuais, em razão da orientação sexual;</w:t>
      </w:r>
    </w:p>
    <w:p w14:paraId="0BFD7445" w14:textId="77777777" w:rsidR="007C3DE2" w:rsidRDefault="007C3DE2" w:rsidP="00785919">
      <w:pPr>
        <w:ind w:firstLine="1418"/>
        <w:jc w:val="both"/>
      </w:pPr>
    </w:p>
    <w:p w14:paraId="3CDC63AC" w14:textId="12295874" w:rsidR="00785919" w:rsidRPr="00785919" w:rsidRDefault="00785919" w:rsidP="00785919">
      <w:pPr>
        <w:ind w:firstLine="1418"/>
        <w:jc w:val="both"/>
      </w:pPr>
      <w:r w:rsidRPr="00785919">
        <w:t xml:space="preserve">III – </w:t>
      </w:r>
      <w:r w:rsidR="00A92F98">
        <w:t>t</w:t>
      </w:r>
      <w:r w:rsidRPr="00785919">
        <w:t>ransfobia</w:t>
      </w:r>
      <w:r w:rsidR="00A92F98">
        <w:t>, entendida como</w:t>
      </w:r>
      <w:r w:rsidRPr="00A92F98">
        <w:t xml:space="preserve"> </w:t>
      </w:r>
      <w:r w:rsidRPr="005110AD">
        <w:t>agressão física, psicológica, sexual ou simbólica</w:t>
      </w:r>
      <w:r w:rsidRPr="00A92F98">
        <w:t xml:space="preserve"> </w:t>
      </w:r>
      <w:r w:rsidRPr="00785919">
        <w:t>praticadas contra pessoas trans, em razão da identidade de gênero;</w:t>
      </w:r>
      <w:r w:rsidR="0051742D">
        <w:t xml:space="preserve"> ou</w:t>
      </w:r>
    </w:p>
    <w:p w14:paraId="707B54DE" w14:textId="77777777" w:rsidR="007C3DE2" w:rsidRDefault="007C3DE2" w:rsidP="00785919">
      <w:pPr>
        <w:ind w:firstLine="1418"/>
        <w:jc w:val="both"/>
      </w:pPr>
    </w:p>
    <w:p w14:paraId="6DE899B8" w14:textId="14DE40F2" w:rsidR="00785919" w:rsidRPr="00785919" w:rsidRDefault="00785919" w:rsidP="00785919">
      <w:pPr>
        <w:ind w:firstLine="1418"/>
        <w:jc w:val="both"/>
      </w:pPr>
      <w:r w:rsidRPr="00785919">
        <w:t xml:space="preserve">IV – </w:t>
      </w:r>
      <w:r w:rsidR="00A047A7">
        <w:t>v</w:t>
      </w:r>
      <w:r w:rsidRPr="00785919">
        <w:t>iolência de gênero</w:t>
      </w:r>
      <w:r w:rsidR="00A047A7">
        <w:t>, entendida como</w:t>
      </w:r>
      <w:r w:rsidRPr="00A047A7">
        <w:t xml:space="preserve"> </w:t>
      </w:r>
      <w:r w:rsidRPr="005110AD">
        <w:t>agressão física, psicológica, sexual ou simbólica</w:t>
      </w:r>
      <w:r w:rsidRPr="00785919">
        <w:t> contra alguém em razão de sua identidade de gênero;</w:t>
      </w:r>
    </w:p>
    <w:p w14:paraId="0F5E18B0" w14:textId="77777777" w:rsidR="00785919" w:rsidRPr="00785919" w:rsidRDefault="00785919" w:rsidP="00785919">
      <w:pPr>
        <w:ind w:firstLine="1418"/>
        <w:jc w:val="both"/>
      </w:pPr>
      <w:r w:rsidRPr="00785919">
        <w:t> </w:t>
      </w:r>
    </w:p>
    <w:p w14:paraId="27E5E0B2" w14:textId="32F1F494" w:rsidR="00785919" w:rsidRPr="00785919" w:rsidRDefault="00785919" w:rsidP="00785919">
      <w:pPr>
        <w:ind w:firstLine="1418"/>
        <w:jc w:val="both"/>
      </w:pPr>
      <w:r w:rsidRPr="00785919">
        <w:rPr>
          <w:b/>
          <w:bCs/>
        </w:rPr>
        <w:t>§</w:t>
      </w:r>
      <w:r w:rsidR="00444BDC">
        <w:rPr>
          <w:b/>
          <w:bCs/>
        </w:rPr>
        <w:t xml:space="preserve"> </w:t>
      </w:r>
      <w:r w:rsidRPr="00785919">
        <w:rPr>
          <w:b/>
          <w:bCs/>
        </w:rPr>
        <w:t>3º</w:t>
      </w:r>
      <w:r w:rsidRPr="00785919">
        <w:t xml:space="preserve"> </w:t>
      </w:r>
      <w:r w:rsidR="00444BDC">
        <w:t xml:space="preserve"> </w:t>
      </w:r>
      <w:r w:rsidRPr="00785919">
        <w:t xml:space="preserve">Para os efeitos desta </w:t>
      </w:r>
      <w:r w:rsidR="0051742D">
        <w:t>L</w:t>
      </w:r>
      <w:r w:rsidRPr="00785919">
        <w:t>ei, compreende-se vulnerabilidade como uma situação de risco e fragilidade, seja por motivos sociais, econômicos</w:t>
      </w:r>
      <w:r w:rsidR="0051742D">
        <w:t xml:space="preserve"> ou</w:t>
      </w:r>
      <w:r w:rsidRPr="00785919">
        <w:t xml:space="preserve"> ambientais</w:t>
      </w:r>
      <w:r w:rsidR="0051742D">
        <w:t>, dentre</w:t>
      </w:r>
      <w:r w:rsidRPr="00785919">
        <w:t xml:space="preserve"> outros.</w:t>
      </w:r>
    </w:p>
    <w:p w14:paraId="6015E5BC" w14:textId="77777777" w:rsidR="007C3DE2" w:rsidRDefault="007C3DE2" w:rsidP="00785919">
      <w:pPr>
        <w:ind w:firstLine="1418"/>
        <w:jc w:val="both"/>
      </w:pPr>
    </w:p>
    <w:p w14:paraId="38E9CE74" w14:textId="042DABD4" w:rsidR="00785919" w:rsidRPr="00785919" w:rsidRDefault="00444BDC" w:rsidP="00785919">
      <w:pPr>
        <w:ind w:firstLine="1418"/>
        <w:jc w:val="both"/>
      </w:pPr>
      <w:r>
        <w:rPr>
          <w:b/>
          <w:bCs/>
        </w:rPr>
        <w:t>§ 4º</w:t>
      </w:r>
      <w:r w:rsidR="00785919" w:rsidRPr="00785919">
        <w:t xml:space="preserve"> </w:t>
      </w:r>
      <w:r>
        <w:t xml:space="preserve"> </w:t>
      </w:r>
      <w:r w:rsidR="00785919" w:rsidRPr="00785919">
        <w:t>Poderão ser acolhidas na Casa de Acolhimento para a População LGBTQIA+</w:t>
      </w:r>
      <w:r w:rsidR="00F536F0">
        <w:t xml:space="preserve"> </w:t>
      </w:r>
      <w:r w:rsidR="00785919" w:rsidRPr="00785919">
        <w:t>pessoas a partir de 16</w:t>
      </w:r>
      <w:r w:rsidR="002678A4">
        <w:t xml:space="preserve"> (dezesseis)</w:t>
      </w:r>
      <w:r w:rsidR="00785919" w:rsidRPr="00785919">
        <w:t xml:space="preserve"> anos completos, independentemente de classe, raça, etnia, orientação sexual, identidade de gênero, renda, cultura, nível educacional e religião</w:t>
      </w:r>
      <w:r>
        <w:t>.</w:t>
      </w:r>
    </w:p>
    <w:p w14:paraId="092A0858" w14:textId="77777777" w:rsidR="007C3DE2" w:rsidRDefault="007C3DE2" w:rsidP="00785919">
      <w:pPr>
        <w:ind w:firstLine="1418"/>
        <w:jc w:val="both"/>
        <w:rPr>
          <w:b/>
          <w:bCs/>
        </w:rPr>
      </w:pPr>
    </w:p>
    <w:p w14:paraId="7CA1FE0C" w14:textId="2AB2919B" w:rsidR="00785919" w:rsidRPr="00785919" w:rsidRDefault="00785919" w:rsidP="00785919">
      <w:pPr>
        <w:ind w:firstLine="1418"/>
        <w:jc w:val="both"/>
      </w:pPr>
      <w:r w:rsidRPr="00785919">
        <w:rPr>
          <w:b/>
          <w:bCs/>
        </w:rPr>
        <w:t>Art. 2º</w:t>
      </w:r>
      <w:r w:rsidR="007A7774">
        <w:rPr>
          <w:b/>
          <w:bCs/>
        </w:rPr>
        <w:t xml:space="preserve"> </w:t>
      </w:r>
      <w:r w:rsidRPr="00785919">
        <w:t xml:space="preserve"> São objetivos específicos da Casa de Acolhimento para a População LGBTQ</w:t>
      </w:r>
      <w:r w:rsidR="00FE03A5">
        <w:t>IA</w:t>
      </w:r>
      <w:r w:rsidRPr="00785919">
        <w:t>+:</w:t>
      </w:r>
    </w:p>
    <w:p w14:paraId="7C6A8E3B" w14:textId="77777777" w:rsidR="007C3DE2" w:rsidRDefault="007C3DE2" w:rsidP="00785919">
      <w:pPr>
        <w:ind w:firstLine="1418"/>
        <w:jc w:val="both"/>
      </w:pPr>
    </w:p>
    <w:p w14:paraId="6D9BFE41" w14:textId="7D2204C9" w:rsidR="00785919" w:rsidRPr="00785919" w:rsidRDefault="00785919" w:rsidP="00785919">
      <w:pPr>
        <w:ind w:firstLine="1418"/>
        <w:jc w:val="both"/>
      </w:pPr>
      <w:r w:rsidRPr="00785919">
        <w:t xml:space="preserve">I – </w:t>
      </w:r>
      <w:r w:rsidR="00FE2838">
        <w:t>a</w:t>
      </w:r>
      <w:r w:rsidRPr="00785919">
        <w:t xml:space="preserve">colher temporariamente </w:t>
      </w:r>
      <w:r w:rsidR="00F700F1">
        <w:t>a</w:t>
      </w:r>
      <w:r w:rsidRPr="00785919">
        <w:t xml:space="preserve"> população </w:t>
      </w:r>
      <w:r w:rsidR="00645061">
        <w:t xml:space="preserve">LGBTQIA+, </w:t>
      </w:r>
      <w:r w:rsidRPr="00785919">
        <w:t>mediante comprovação de vulnerabilidade ou registro de denúncia de violência</w:t>
      </w:r>
      <w:r w:rsidR="00A35539">
        <w:t xml:space="preserve"> via</w:t>
      </w:r>
      <w:r w:rsidRPr="00785919">
        <w:t xml:space="preserve"> Boletim de Ocorrência</w:t>
      </w:r>
      <w:r w:rsidR="00A35539">
        <w:t xml:space="preserve"> (BO</w:t>
      </w:r>
      <w:r w:rsidRPr="00785919">
        <w:t>);</w:t>
      </w:r>
    </w:p>
    <w:p w14:paraId="7B168833" w14:textId="77777777" w:rsidR="007C3DE2" w:rsidRDefault="007C3DE2" w:rsidP="00785919">
      <w:pPr>
        <w:ind w:firstLine="1418"/>
        <w:jc w:val="both"/>
      </w:pPr>
    </w:p>
    <w:p w14:paraId="1475F309" w14:textId="04658FE4" w:rsidR="00785919" w:rsidRPr="00785919" w:rsidRDefault="00785919" w:rsidP="00785919">
      <w:pPr>
        <w:ind w:firstLine="1418"/>
        <w:jc w:val="both"/>
      </w:pPr>
      <w:r w:rsidRPr="00785919">
        <w:t xml:space="preserve">II – </w:t>
      </w:r>
      <w:r w:rsidR="00FE2838">
        <w:t>e</w:t>
      </w:r>
      <w:r w:rsidRPr="00785919">
        <w:t xml:space="preserve">ncaminhar a pessoa acolhida para atendimento junto aos serviços da </w:t>
      </w:r>
      <w:r w:rsidR="009414CF">
        <w:t>r</w:t>
      </w:r>
      <w:r w:rsidRPr="00785919">
        <w:t xml:space="preserve">ede de </w:t>
      </w:r>
      <w:r w:rsidR="009414CF">
        <w:t>a</w:t>
      </w:r>
      <w:r w:rsidRPr="00785919">
        <w:t xml:space="preserve">ssistência </w:t>
      </w:r>
      <w:r w:rsidR="009414CF">
        <w:t>s</w:t>
      </w:r>
      <w:r w:rsidRPr="00785919">
        <w:t xml:space="preserve">ocial do Município, </w:t>
      </w:r>
      <w:r w:rsidR="009414CF">
        <w:t>nos</w:t>
      </w:r>
      <w:r w:rsidRPr="00785919">
        <w:t xml:space="preserve"> Centros de Referência de Assistência Social (CRAS), Centro</w:t>
      </w:r>
      <w:r w:rsidR="009414CF">
        <w:t>s</w:t>
      </w:r>
      <w:r w:rsidRPr="00785919">
        <w:t xml:space="preserve"> de Referência Especializado</w:t>
      </w:r>
      <w:r w:rsidR="002678A4">
        <w:t>s</w:t>
      </w:r>
      <w:r w:rsidRPr="00785919">
        <w:t xml:space="preserve"> de Assistência Social (CREAS) e Centro</w:t>
      </w:r>
      <w:r w:rsidR="009414CF">
        <w:t>s</w:t>
      </w:r>
      <w:r w:rsidRPr="00785919">
        <w:t xml:space="preserve"> de Atenção Psicossocial (CAPS);</w:t>
      </w:r>
    </w:p>
    <w:p w14:paraId="3FD4625F" w14:textId="77777777" w:rsidR="007C3DE2" w:rsidRDefault="007C3DE2" w:rsidP="00785919">
      <w:pPr>
        <w:ind w:firstLine="1418"/>
        <w:jc w:val="both"/>
      </w:pPr>
    </w:p>
    <w:p w14:paraId="0BF957A5" w14:textId="474DC850" w:rsidR="00785919" w:rsidRPr="00785919" w:rsidRDefault="00785919" w:rsidP="00785919">
      <w:pPr>
        <w:ind w:firstLine="1418"/>
        <w:jc w:val="both"/>
      </w:pPr>
      <w:r w:rsidRPr="00785919">
        <w:t xml:space="preserve">III – </w:t>
      </w:r>
      <w:r w:rsidR="00FE2838">
        <w:t>p</w:t>
      </w:r>
      <w:r w:rsidRPr="00785919">
        <w:t xml:space="preserve">romover a reintegração da pessoa acolhida à sociedade, garantindo o distanciamento da situação de violência e </w:t>
      </w:r>
      <w:r w:rsidR="00423CC6">
        <w:t xml:space="preserve">as </w:t>
      </w:r>
      <w:r w:rsidRPr="00785919">
        <w:t xml:space="preserve">condições para </w:t>
      </w:r>
      <w:r w:rsidR="00423CC6">
        <w:t xml:space="preserve">a </w:t>
      </w:r>
      <w:r w:rsidRPr="00785919">
        <w:t xml:space="preserve">superação de seus traumas e </w:t>
      </w:r>
      <w:r w:rsidR="00423CC6">
        <w:t xml:space="preserve">a </w:t>
      </w:r>
      <w:r w:rsidRPr="00785919">
        <w:t>reestruturação da sua vida;</w:t>
      </w:r>
      <w:r w:rsidR="00FE2838">
        <w:t xml:space="preserve"> e</w:t>
      </w:r>
    </w:p>
    <w:p w14:paraId="7E62001E" w14:textId="77777777" w:rsidR="007C3DE2" w:rsidRDefault="007C3DE2" w:rsidP="00785919">
      <w:pPr>
        <w:ind w:firstLine="1418"/>
        <w:jc w:val="both"/>
      </w:pPr>
    </w:p>
    <w:p w14:paraId="77A41155" w14:textId="25BBA9CB" w:rsidR="00785919" w:rsidRPr="00785919" w:rsidRDefault="00785919" w:rsidP="00785919">
      <w:pPr>
        <w:ind w:firstLine="1418"/>
        <w:jc w:val="both"/>
      </w:pPr>
      <w:r w:rsidRPr="00785919">
        <w:t xml:space="preserve">VI – </w:t>
      </w:r>
      <w:r w:rsidR="00FE2838">
        <w:t>g</w:t>
      </w:r>
      <w:r w:rsidRPr="00785919">
        <w:t xml:space="preserve">arantir a aplicação dos direitos fundamentais de justiça e inclusão social e o respeito ao nome social, </w:t>
      </w:r>
      <w:r w:rsidR="00423CC6">
        <w:t xml:space="preserve">à </w:t>
      </w:r>
      <w:r w:rsidRPr="00785919">
        <w:t xml:space="preserve">orientação sexual e </w:t>
      </w:r>
      <w:r w:rsidR="00423CC6">
        <w:t xml:space="preserve">à </w:t>
      </w:r>
      <w:r w:rsidRPr="00785919">
        <w:t>identidade de gênero</w:t>
      </w:r>
      <w:r w:rsidR="00FE2838">
        <w:t>.</w:t>
      </w:r>
    </w:p>
    <w:p w14:paraId="1E5D3870" w14:textId="77777777" w:rsidR="007C3DE2" w:rsidRDefault="007C3DE2" w:rsidP="00785919">
      <w:pPr>
        <w:ind w:firstLine="1418"/>
        <w:jc w:val="both"/>
        <w:rPr>
          <w:b/>
          <w:bCs/>
        </w:rPr>
      </w:pPr>
    </w:p>
    <w:p w14:paraId="6C39D327" w14:textId="2C905C09" w:rsidR="00785919" w:rsidRPr="00785919" w:rsidRDefault="00785919" w:rsidP="00785919">
      <w:pPr>
        <w:ind w:firstLine="1418"/>
        <w:jc w:val="both"/>
      </w:pPr>
      <w:r w:rsidRPr="00785919">
        <w:rPr>
          <w:b/>
          <w:bCs/>
        </w:rPr>
        <w:t xml:space="preserve">Art. 3º </w:t>
      </w:r>
      <w:r w:rsidRPr="00785919">
        <w:t xml:space="preserve"> A Casa de Acolhimento para a População LGBTQIA+ está consubstanciada, dentre outros, nos seguintes fundamentos</w:t>
      </w:r>
      <w:r w:rsidR="00FF0144">
        <w:t>:</w:t>
      </w:r>
    </w:p>
    <w:p w14:paraId="4A2119BE" w14:textId="77777777" w:rsidR="007C3DE2" w:rsidRDefault="007C3DE2" w:rsidP="00785919">
      <w:pPr>
        <w:ind w:firstLine="1418"/>
        <w:jc w:val="both"/>
      </w:pPr>
    </w:p>
    <w:p w14:paraId="016660F4" w14:textId="7459EA57" w:rsidR="00785919" w:rsidRPr="00785919" w:rsidRDefault="00785919" w:rsidP="00785919">
      <w:pPr>
        <w:ind w:firstLine="1418"/>
        <w:jc w:val="both"/>
      </w:pPr>
      <w:r w:rsidRPr="00785919">
        <w:t xml:space="preserve">I – </w:t>
      </w:r>
      <w:r w:rsidR="0005570F">
        <w:t>promoção do</w:t>
      </w:r>
      <w:r w:rsidRPr="00785919">
        <w:t xml:space="preserve"> bem de todos, sem preconceitos de origem, raça, sexo, cor, idade e quaisquer outras formas de discriminação, </w:t>
      </w:r>
      <w:r w:rsidR="00087061">
        <w:t>previst</w:t>
      </w:r>
      <w:r w:rsidR="00423CC6">
        <w:t>o</w:t>
      </w:r>
      <w:r w:rsidR="00087061">
        <w:t xml:space="preserve"> no</w:t>
      </w:r>
      <w:r w:rsidR="0005570F">
        <w:t xml:space="preserve"> </w:t>
      </w:r>
      <w:r w:rsidR="00E45F32">
        <w:t>a</w:t>
      </w:r>
      <w:r w:rsidRPr="00785919">
        <w:t>rt</w:t>
      </w:r>
      <w:r w:rsidR="00E45F32">
        <w:t>.</w:t>
      </w:r>
      <w:r w:rsidRPr="00785919">
        <w:t xml:space="preserve"> 3º da Constituição Federal</w:t>
      </w:r>
      <w:r w:rsidR="00A35539">
        <w:t>;</w:t>
      </w:r>
    </w:p>
    <w:p w14:paraId="6857FDBA" w14:textId="77777777" w:rsidR="007C3DE2" w:rsidRDefault="007C3DE2" w:rsidP="00785919">
      <w:pPr>
        <w:ind w:firstLine="1418"/>
        <w:jc w:val="both"/>
      </w:pPr>
    </w:p>
    <w:p w14:paraId="4FA225C4" w14:textId="38800F41" w:rsidR="00785919" w:rsidRPr="00785919" w:rsidRDefault="00785919" w:rsidP="00785919">
      <w:pPr>
        <w:ind w:firstLine="1418"/>
        <w:jc w:val="both"/>
      </w:pPr>
      <w:r w:rsidRPr="00785919">
        <w:t>II – uso do nome social;</w:t>
      </w:r>
    </w:p>
    <w:p w14:paraId="2E52B8BE" w14:textId="77777777" w:rsidR="007C3DE2" w:rsidRDefault="007C3DE2" w:rsidP="00785919">
      <w:pPr>
        <w:ind w:firstLine="1418"/>
        <w:jc w:val="both"/>
      </w:pPr>
    </w:p>
    <w:p w14:paraId="1A8FA1BB" w14:textId="23D61000" w:rsidR="00785919" w:rsidRPr="00785919" w:rsidRDefault="00785919" w:rsidP="00785919">
      <w:pPr>
        <w:ind w:firstLine="1418"/>
        <w:jc w:val="both"/>
      </w:pPr>
      <w:r w:rsidRPr="00785919">
        <w:t>III – respeito pela identidade de gênero em todas as suas especificidades;</w:t>
      </w:r>
    </w:p>
    <w:p w14:paraId="53807975" w14:textId="77777777" w:rsidR="007C3DE2" w:rsidRDefault="007C3DE2" w:rsidP="00785919">
      <w:pPr>
        <w:ind w:firstLine="1418"/>
        <w:jc w:val="both"/>
      </w:pPr>
    </w:p>
    <w:p w14:paraId="133C337D" w14:textId="6F8101DC" w:rsidR="00785919" w:rsidRPr="00785919" w:rsidRDefault="00785919" w:rsidP="00785919">
      <w:pPr>
        <w:ind w:firstLine="1418"/>
        <w:jc w:val="both"/>
      </w:pPr>
      <w:r w:rsidRPr="00785919">
        <w:t xml:space="preserve">IV – </w:t>
      </w:r>
      <w:r w:rsidR="00A44EB0">
        <w:t xml:space="preserve">livre opção para </w:t>
      </w:r>
      <w:r w:rsidRPr="00785919">
        <w:t>uso d</w:t>
      </w:r>
      <w:r w:rsidR="00A35539">
        <w:t>e</w:t>
      </w:r>
      <w:r w:rsidRPr="00785919">
        <w:t xml:space="preserve"> banheiro segundo a identidade de gênero com que a pessoa se identifica; e</w:t>
      </w:r>
    </w:p>
    <w:p w14:paraId="20CB6CBA" w14:textId="77777777" w:rsidR="007C3DE2" w:rsidRDefault="007C3DE2" w:rsidP="00785919">
      <w:pPr>
        <w:ind w:firstLine="1418"/>
        <w:jc w:val="both"/>
      </w:pPr>
    </w:p>
    <w:p w14:paraId="079010DD" w14:textId="6308ACC8" w:rsidR="00785919" w:rsidRPr="00785919" w:rsidRDefault="00785919" w:rsidP="00785919">
      <w:pPr>
        <w:ind w:firstLine="1418"/>
        <w:jc w:val="both"/>
      </w:pPr>
      <w:r w:rsidRPr="00785919">
        <w:lastRenderedPageBreak/>
        <w:t xml:space="preserve">V – </w:t>
      </w:r>
      <w:r w:rsidR="0005570F">
        <w:t>a</w:t>
      </w:r>
      <w:r w:rsidRPr="00785919">
        <w:t xml:space="preserve">tenção às especificidades de cada categoria identitária e sexual na elaboração e aplicação das regras de funcionamento e de convivência da Casa, de modo a garantir o atendimento humanizado e de qualidade, conforme disposto </w:t>
      </w:r>
      <w:r w:rsidR="00C4504B">
        <w:t>em seu</w:t>
      </w:r>
      <w:r w:rsidR="00C4504B" w:rsidRPr="00785919">
        <w:t xml:space="preserve"> </w:t>
      </w:r>
      <w:r w:rsidRPr="00785919">
        <w:t>estatuto e regimento.</w:t>
      </w:r>
    </w:p>
    <w:p w14:paraId="0350B72C" w14:textId="77777777" w:rsidR="007C3DE2" w:rsidRDefault="007C3DE2" w:rsidP="00785919">
      <w:pPr>
        <w:ind w:firstLine="1418"/>
        <w:jc w:val="both"/>
        <w:rPr>
          <w:b/>
          <w:bCs/>
        </w:rPr>
      </w:pPr>
    </w:p>
    <w:p w14:paraId="3CE3A894" w14:textId="145790E8" w:rsidR="00785919" w:rsidRPr="00785919" w:rsidRDefault="00785919" w:rsidP="00785919">
      <w:pPr>
        <w:ind w:firstLine="1418"/>
        <w:jc w:val="both"/>
      </w:pPr>
      <w:r w:rsidRPr="00785919">
        <w:rPr>
          <w:b/>
          <w:bCs/>
        </w:rPr>
        <w:t>Art. 4º</w:t>
      </w:r>
      <w:r w:rsidRPr="00785919">
        <w:t xml:space="preserve"> </w:t>
      </w:r>
      <w:r w:rsidR="00A54285">
        <w:t xml:space="preserve"> </w:t>
      </w:r>
      <w:r w:rsidRPr="00785919">
        <w:t xml:space="preserve">Compete ao Poder Público Municipal a articulação política e jurídica de parcerias com </w:t>
      </w:r>
      <w:r w:rsidRPr="001212A4">
        <w:t xml:space="preserve">os </w:t>
      </w:r>
      <w:r w:rsidR="00986B0E" w:rsidRPr="001212A4">
        <w:t>ó</w:t>
      </w:r>
      <w:r w:rsidRPr="001212A4">
        <w:t>rgãos da Administração Pública</w:t>
      </w:r>
      <w:r w:rsidR="00433F0B" w:rsidRPr="001212A4">
        <w:t xml:space="preserve"> direta </w:t>
      </w:r>
      <w:r w:rsidR="00F16DE3" w:rsidRPr="001212A4">
        <w:t>e as entidades da Admini</w:t>
      </w:r>
      <w:r w:rsidR="00EF7D26" w:rsidRPr="005110AD">
        <w:t>s</w:t>
      </w:r>
      <w:r w:rsidR="00F16DE3" w:rsidRPr="001212A4">
        <w:t xml:space="preserve">tração Pública </w:t>
      </w:r>
      <w:r w:rsidR="00433F0B" w:rsidRPr="001212A4">
        <w:t>indireta</w:t>
      </w:r>
      <w:r w:rsidRPr="001212A4">
        <w:t>, sem prejuízo</w:t>
      </w:r>
      <w:r w:rsidRPr="00785919">
        <w:t xml:space="preserve"> de demais </w:t>
      </w:r>
      <w:r w:rsidR="001212A4">
        <w:t>instituições</w:t>
      </w:r>
      <w:r w:rsidR="001212A4" w:rsidRPr="00785919">
        <w:t xml:space="preserve"> </w:t>
      </w:r>
      <w:r w:rsidRPr="00785919">
        <w:t xml:space="preserve">integrantes, nos termos do </w:t>
      </w:r>
      <w:r w:rsidR="00986B0E">
        <w:rPr>
          <w:i/>
          <w:iCs/>
        </w:rPr>
        <w:t xml:space="preserve">caput </w:t>
      </w:r>
      <w:r w:rsidR="00986B0E">
        <w:t>do a</w:t>
      </w:r>
      <w:r w:rsidRPr="00785919">
        <w:t>rt</w:t>
      </w:r>
      <w:r w:rsidR="00986B0E">
        <w:t>.</w:t>
      </w:r>
      <w:r w:rsidRPr="00785919">
        <w:t xml:space="preserve"> 37</w:t>
      </w:r>
      <w:r w:rsidR="00986B0E">
        <w:t xml:space="preserve"> </w:t>
      </w:r>
      <w:r w:rsidRPr="00785919">
        <w:t xml:space="preserve">da Constituição </w:t>
      </w:r>
      <w:r w:rsidR="00986B0E">
        <w:t>Federal</w:t>
      </w:r>
      <w:r w:rsidRPr="00785919">
        <w:t>, para a implementação, monitoramento e avaliação da Casa de Acolhimento para a População LGBTQIA+, buscando, em especial, o apoio</w:t>
      </w:r>
      <w:r w:rsidR="002435C0">
        <w:t>:</w:t>
      </w:r>
    </w:p>
    <w:p w14:paraId="05E34F65" w14:textId="77777777" w:rsidR="007C3DE2" w:rsidRDefault="007C3DE2" w:rsidP="00785919">
      <w:pPr>
        <w:ind w:firstLine="1418"/>
        <w:jc w:val="both"/>
      </w:pPr>
    </w:p>
    <w:p w14:paraId="04C71BBF" w14:textId="7E5ED790" w:rsidR="00785919" w:rsidRPr="00785919" w:rsidRDefault="00785919" w:rsidP="00785919">
      <w:pPr>
        <w:ind w:firstLine="1418"/>
        <w:jc w:val="both"/>
      </w:pPr>
      <w:r w:rsidRPr="00785919">
        <w:t xml:space="preserve">I – </w:t>
      </w:r>
      <w:r w:rsidR="002435C0">
        <w:t>de o</w:t>
      </w:r>
      <w:r w:rsidRPr="00785919">
        <w:t>rganizações dos movimentos sociais sensíveis às temáticas de gênero, sexualidade e população LGBTQIA+;</w:t>
      </w:r>
    </w:p>
    <w:p w14:paraId="737A0434" w14:textId="77777777" w:rsidR="007C3DE2" w:rsidRDefault="007C3DE2" w:rsidP="00785919">
      <w:pPr>
        <w:ind w:firstLine="1418"/>
        <w:jc w:val="both"/>
      </w:pPr>
    </w:p>
    <w:p w14:paraId="65802A07" w14:textId="3F80E533" w:rsidR="00785919" w:rsidRPr="00785919" w:rsidRDefault="00785919" w:rsidP="00785919">
      <w:pPr>
        <w:ind w:firstLine="1418"/>
        <w:jc w:val="both"/>
      </w:pPr>
      <w:r w:rsidRPr="00785919">
        <w:t xml:space="preserve">II – </w:t>
      </w:r>
      <w:r w:rsidR="002435C0">
        <w:t xml:space="preserve">da </w:t>
      </w:r>
      <w:r w:rsidRPr="00785919">
        <w:t>Coordenadoria de Diversidade Sexual de Porto Alegre</w:t>
      </w:r>
      <w:r w:rsidR="002435C0">
        <w:t xml:space="preserve"> e de órgãos a ela vinculados</w:t>
      </w:r>
      <w:r w:rsidRPr="00785919">
        <w:t>; e</w:t>
      </w:r>
    </w:p>
    <w:p w14:paraId="41A142FD" w14:textId="77777777" w:rsidR="007C3DE2" w:rsidRDefault="007C3DE2" w:rsidP="00785919">
      <w:pPr>
        <w:ind w:firstLine="1418"/>
        <w:jc w:val="both"/>
      </w:pPr>
    </w:p>
    <w:p w14:paraId="00D93EDD" w14:textId="5C2C5ED4" w:rsidR="00785919" w:rsidRPr="00785919" w:rsidRDefault="00785919" w:rsidP="00785919">
      <w:pPr>
        <w:ind w:firstLine="1418"/>
        <w:jc w:val="both"/>
      </w:pPr>
      <w:r w:rsidRPr="00785919">
        <w:t>I</w:t>
      </w:r>
      <w:r w:rsidR="00BA2747">
        <w:t>I</w:t>
      </w:r>
      <w:r w:rsidRPr="00785919">
        <w:t xml:space="preserve">I – </w:t>
      </w:r>
      <w:r w:rsidR="0017658D">
        <w:t xml:space="preserve">de </w:t>
      </w:r>
      <w:r w:rsidR="002435C0" w:rsidRPr="00785919">
        <w:t xml:space="preserve">núcleos e grupos de estudo e pesquisa de universidades públicas e privadas com </w:t>
      </w:r>
      <w:r w:rsidR="002435C0" w:rsidRPr="00785919">
        <w:rPr>
          <w:i/>
          <w:iCs/>
        </w:rPr>
        <w:t>campi</w:t>
      </w:r>
      <w:r w:rsidR="002435C0" w:rsidRPr="00785919">
        <w:t xml:space="preserve"> em </w:t>
      </w:r>
      <w:r w:rsidR="002435C0">
        <w:t>P</w:t>
      </w:r>
      <w:r w:rsidR="002435C0" w:rsidRPr="00785919">
        <w:t xml:space="preserve">orto </w:t>
      </w:r>
      <w:r w:rsidR="002435C0">
        <w:t>A</w:t>
      </w:r>
      <w:r w:rsidR="002435C0" w:rsidRPr="00785919">
        <w:t>legre</w:t>
      </w:r>
      <w:r w:rsidRPr="00785919">
        <w:t>.</w:t>
      </w:r>
    </w:p>
    <w:p w14:paraId="5878E535" w14:textId="77777777" w:rsidR="007C3DE2" w:rsidRDefault="007C3DE2" w:rsidP="00785919">
      <w:pPr>
        <w:ind w:firstLine="1418"/>
        <w:jc w:val="both"/>
        <w:rPr>
          <w:b/>
          <w:bCs/>
        </w:rPr>
      </w:pPr>
    </w:p>
    <w:p w14:paraId="294D627A" w14:textId="5DE76226" w:rsidR="00785919" w:rsidRPr="00785919" w:rsidRDefault="00785919" w:rsidP="00785919">
      <w:pPr>
        <w:ind w:firstLine="1418"/>
        <w:jc w:val="both"/>
      </w:pPr>
      <w:r w:rsidRPr="00785919">
        <w:rPr>
          <w:b/>
          <w:bCs/>
        </w:rPr>
        <w:t>Art. 5º</w:t>
      </w:r>
      <w:r w:rsidRPr="00785919">
        <w:t xml:space="preserve"> Serão prestados pela Casa de Acolhimento para a População LGBTQIA+ os seguintes serviços, sem prejuízo de outros que se mostrarem necessários:</w:t>
      </w:r>
    </w:p>
    <w:p w14:paraId="1A8658DA" w14:textId="77777777" w:rsidR="007C3DE2" w:rsidRDefault="007C3DE2" w:rsidP="00785919">
      <w:pPr>
        <w:ind w:firstLine="1418"/>
        <w:jc w:val="both"/>
      </w:pPr>
    </w:p>
    <w:p w14:paraId="18C7B306" w14:textId="604A3CED" w:rsidR="00785919" w:rsidRPr="00785919" w:rsidRDefault="00785919" w:rsidP="00785919">
      <w:pPr>
        <w:ind w:firstLine="1418"/>
        <w:jc w:val="both"/>
      </w:pPr>
      <w:r w:rsidRPr="00785919">
        <w:t xml:space="preserve">I – </w:t>
      </w:r>
      <w:r w:rsidR="005D7D21">
        <w:t>s</w:t>
      </w:r>
      <w:r w:rsidRPr="00785919">
        <w:t>erviço de triagem, com a realização de entrevistas individuais e privativas, para fins de acomodação na Casa, que garantirá a divisão dos espaços privativos segundo a identidade de gênero e a gravidade do dano sofrido pela pessoa acolhida;</w:t>
      </w:r>
    </w:p>
    <w:p w14:paraId="6133F437" w14:textId="77777777" w:rsidR="007C3DE2" w:rsidRDefault="007C3DE2" w:rsidP="00785919">
      <w:pPr>
        <w:ind w:firstLine="1418"/>
        <w:jc w:val="both"/>
      </w:pPr>
    </w:p>
    <w:p w14:paraId="402B9DD9" w14:textId="1B1043A4" w:rsidR="00785919" w:rsidRPr="00785919" w:rsidRDefault="00785919" w:rsidP="00785919">
      <w:pPr>
        <w:ind w:firstLine="1418"/>
        <w:jc w:val="both"/>
      </w:pPr>
      <w:r w:rsidRPr="00785919">
        <w:t xml:space="preserve">II – </w:t>
      </w:r>
      <w:r w:rsidR="005D7D21">
        <w:t>a</w:t>
      </w:r>
      <w:r w:rsidRPr="00785919">
        <w:t>valiação preliminar diagnóstica, com análise das condições socioeconômicas, inclusive familiares, da pessoa acolhida, além da mensuração dos riscos aos quais elas foram, ou ainda estão, submetidas;</w:t>
      </w:r>
    </w:p>
    <w:p w14:paraId="4E590000" w14:textId="77777777" w:rsidR="007C3DE2" w:rsidRDefault="007C3DE2" w:rsidP="00785919">
      <w:pPr>
        <w:ind w:firstLine="1418"/>
        <w:jc w:val="both"/>
      </w:pPr>
    </w:p>
    <w:p w14:paraId="6453538D" w14:textId="3A5102D6" w:rsidR="00785919" w:rsidRPr="00785919" w:rsidRDefault="00785919" w:rsidP="00785919">
      <w:pPr>
        <w:ind w:firstLine="1418"/>
        <w:jc w:val="both"/>
      </w:pPr>
      <w:r w:rsidRPr="00785919">
        <w:t xml:space="preserve">III – </w:t>
      </w:r>
      <w:r w:rsidR="005D7D21">
        <w:t>d</w:t>
      </w:r>
      <w:r w:rsidRPr="00785919">
        <w:t>efinição individual e personalizada dos serviços e tratamentos a serem prestados à pessoa acolhida, com análise do tempo necessário de acolhimento na Casa até a sua recuperação plena para a reintegração social;</w:t>
      </w:r>
    </w:p>
    <w:p w14:paraId="11676DD7" w14:textId="77777777" w:rsidR="007C3DE2" w:rsidRDefault="007C3DE2" w:rsidP="00785919">
      <w:pPr>
        <w:ind w:firstLine="1418"/>
        <w:jc w:val="both"/>
      </w:pPr>
    </w:p>
    <w:p w14:paraId="6BB935EA" w14:textId="3C42AD1A" w:rsidR="00785919" w:rsidRPr="00785919" w:rsidRDefault="00785919" w:rsidP="00785919">
      <w:pPr>
        <w:ind w:firstLine="1418"/>
        <w:jc w:val="both"/>
      </w:pPr>
      <w:r w:rsidRPr="00785919">
        <w:t xml:space="preserve">IV – </w:t>
      </w:r>
      <w:r w:rsidR="005D7D21">
        <w:t>i</w:t>
      </w:r>
      <w:r w:rsidRPr="00785919">
        <w:t xml:space="preserve">ntermediação, junto aos serviços da rede pública de </w:t>
      </w:r>
      <w:r w:rsidR="0017658D">
        <w:t>s</w:t>
      </w:r>
      <w:r w:rsidRPr="00785919">
        <w:t>aúde, para marcação de consultas, exames e demais procedimentos médico-hospitalares que se fizerem necessários à efetiva proteção e promoção da saúde integral da pessoa acolhida;</w:t>
      </w:r>
    </w:p>
    <w:p w14:paraId="7D887F5C" w14:textId="77777777" w:rsidR="007C3DE2" w:rsidRDefault="007C3DE2" w:rsidP="00785919">
      <w:pPr>
        <w:ind w:firstLine="1418"/>
        <w:jc w:val="both"/>
      </w:pPr>
    </w:p>
    <w:p w14:paraId="3B564F37" w14:textId="5F7F8904" w:rsidR="00785919" w:rsidRPr="00785919" w:rsidRDefault="00785919" w:rsidP="00785919">
      <w:pPr>
        <w:ind w:firstLine="1418"/>
        <w:jc w:val="both"/>
      </w:pPr>
      <w:r w:rsidRPr="00785919">
        <w:t xml:space="preserve">V – </w:t>
      </w:r>
      <w:r w:rsidR="005D7D21">
        <w:t>p</w:t>
      </w:r>
      <w:r w:rsidRPr="00785919">
        <w:t xml:space="preserve">romoção da qualificação profissional e inserção no mercado de trabalho </w:t>
      </w:r>
      <w:r w:rsidR="005F76AC">
        <w:t xml:space="preserve">por meio </w:t>
      </w:r>
      <w:r w:rsidRPr="00785919">
        <w:t>de convênios com escolas e instituições que oferecem cursos profissionalizantes e do cadastramento junto ao Sistema Nacional de Emprego (</w:t>
      </w:r>
      <w:r w:rsidR="0017658D">
        <w:t>Sine</w:t>
      </w:r>
      <w:r w:rsidRPr="00785919">
        <w:t>);</w:t>
      </w:r>
      <w:r w:rsidR="005D7D21">
        <w:t xml:space="preserve"> e</w:t>
      </w:r>
    </w:p>
    <w:p w14:paraId="0262C1F2" w14:textId="77777777" w:rsidR="007C3DE2" w:rsidRDefault="007C3DE2" w:rsidP="00785919">
      <w:pPr>
        <w:ind w:firstLine="1418"/>
        <w:jc w:val="both"/>
      </w:pPr>
    </w:p>
    <w:p w14:paraId="7929B889" w14:textId="49ECB769" w:rsidR="00785919" w:rsidRPr="00785919" w:rsidRDefault="00785919" w:rsidP="00785919">
      <w:pPr>
        <w:ind w:firstLine="1418"/>
        <w:jc w:val="both"/>
      </w:pPr>
      <w:r w:rsidRPr="00785919">
        <w:t xml:space="preserve">VI – </w:t>
      </w:r>
      <w:r w:rsidR="005D7D21">
        <w:t>c</w:t>
      </w:r>
      <w:r w:rsidRPr="00785919">
        <w:t>ondução, às expensas da Casa de Acolhimento para a População LGBTQIA+, das pessoas acolhidas</w:t>
      </w:r>
      <w:r w:rsidR="005F76AC">
        <w:t xml:space="preserve"> </w:t>
      </w:r>
      <w:r w:rsidRPr="00785919">
        <w:t xml:space="preserve">aos serviços elencados no </w:t>
      </w:r>
      <w:r w:rsidR="0017658D">
        <w:t>inc.</w:t>
      </w:r>
      <w:r w:rsidR="0017658D" w:rsidRPr="00785919">
        <w:t xml:space="preserve"> </w:t>
      </w:r>
      <w:r w:rsidRPr="00785919">
        <w:t>IV deste artigo</w:t>
      </w:r>
      <w:r w:rsidR="0017658D">
        <w:t>.</w:t>
      </w:r>
    </w:p>
    <w:p w14:paraId="50994B84" w14:textId="77777777" w:rsidR="00785919" w:rsidRPr="00785919" w:rsidRDefault="00785919" w:rsidP="00785919">
      <w:pPr>
        <w:ind w:firstLine="1418"/>
        <w:jc w:val="both"/>
      </w:pPr>
      <w:r w:rsidRPr="00785919">
        <w:t> </w:t>
      </w:r>
    </w:p>
    <w:p w14:paraId="23F2E896" w14:textId="103AB7D3" w:rsidR="00785919" w:rsidRPr="00785919" w:rsidRDefault="00785919" w:rsidP="00785919">
      <w:pPr>
        <w:ind w:firstLine="1418"/>
        <w:jc w:val="both"/>
      </w:pPr>
      <w:r w:rsidRPr="00785919">
        <w:rPr>
          <w:b/>
          <w:bCs/>
        </w:rPr>
        <w:t xml:space="preserve">Art. 6º </w:t>
      </w:r>
      <w:r w:rsidR="003653DA">
        <w:rPr>
          <w:b/>
          <w:bCs/>
        </w:rPr>
        <w:t xml:space="preserve"> </w:t>
      </w:r>
      <w:r w:rsidRPr="00785919">
        <w:t xml:space="preserve">A </w:t>
      </w:r>
      <w:r w:rsidR="00443078" w:rsidRPr="00785919">
        <w:t>Casa de Acolhimento para a População LGBTQIA+</w:t>
      </w:r>
      <w:r w:rsidRPr="00785919">
        <w:t xml:space="preserve"> será regida pela Resolução </w:t>
      </w:r>
      <w:r w:rsidR="00101ADE">
        <w:t xml:space="preserve">Conjunta nº </w:t>
      </w:r>
      <w:r w:rsidRPr="00785919">
        <w:t>1</w:t>
      </w:r>
      <w:r w:rsidR="00101ADE">
        <w:t>, de 21 de setembro de 2018,</w:t>
      </w:r>
      <w:r w:rsidRPr="00785919">
        <w:t xml:space="preserve"> do Conselho Nacional de Combate à </w:t>
      </w:r>
      <w:r w:rsidRPr="00785919">
        <w:lastRenderedPageBreak/>
        <w:t>Discriminação e Promoção dos Direitos de Lésbicas, Gays, Bissexuais, Travestis e Transexuais</w:t>
      </w:r>
      <w:r w:rsidR="00101ADE">
        <w:t xml:space="preserve"> (CNCD/LGBT) e do </w:t>
      </w:r>
      <w:r w:rsidR="00101ADE" w:rsidRPr="00101ADE">
        <w:t xml:space="preserve">Conselho Nacional </w:t>
      </w:r>
      <w:r w:rsidR="00101ADE">
        <w:t>d</w:t>
      </w:r>
      <w:r w:rsidR="00101ADE" w:rsidRPr="00101ADE">
        <w:t>e Assistência Social</w:t>
      </w:r>
      <w:r w:rsidR="00101ADE">
        <w:t xml:space="preserve"> (CNAS).</w:t>
      </w:r>
    </w:p>
    <w:p w14:paraId="074595A1" w14:textId="77777777" w:rsidR="007C3DE2" w:rsidRDefault="007C3DE2" w:rsidP="00785919">
      <w:pPr>
        <w:ind w:firstLine="1418"/>
        <w:jc w:val="both"/>
      </w:pPr>
    </w:p>
    <w:p w14:paraId="38D18FF8" w14:textId="25AA00D7" w:rsidR="00785919" w:rsidRPr="00785919" w:rsidRDefault="00785919" w:rsidP="00785919">
      <w:pPr>
        <w:ind w:firstLine="1418"/>
        <w:jc w:val="both"/>
      </w:pPr>
      <w:r w:rsidRPr="005110AD">
        <w:rPr>
          <w:b/>
          <w:bCs/>
        </w:rPr>
        <w:t>Parágrafo único</w:t>
      </w:r>
      <w:r w:rsidR="005F76AC">
        <w:rPr>
          <w:b/>
          <w:bCs/>
        </w:rPr>
        <w:t>.</w:t>
      </w:r>
      <w:r w:rsidRPr="00785919">
        <w:t xml:space="preserve"> </w:t>
      </w:r>
      <w:r w:rsidR="005F76AC">
        <w:t xml:space="preserve"> </w:t>
      </w:r>
      <w:r w:rsidRPr="00785919">
        <w:t xml:space="preserve">Os serviços de atendimento prestados na Casa de Acolhimento para a População LGBTQIA+ </w:t>
      </w:r>
      <w:r w:rsidR="00702A08">
        <w:t>integram-se às</w:t>
      </w:r>
      <w:r w:rsidRPr="00785919">
        <w:t xml:space="preserve"> mesmas áreas daqueles ofertados pela </w:t>
      </w:r>
      <w:r w:rsidR="00101ADE">
        <w:t>rede do M</w:t>
      </w:r>
      <w:r w:rsidRPr="00785919">
        <w:t>unicípio, quais sejam:</w:t>
      </w:r>
    </w:p>
    <w:p w14:paraId="2C34742D" w14:textId="77777777" w:rsidR="007C3DE2" w:rsidRDefault="007C3DE2" w:rsidP="00785919">
      <w:pPr>
        <w:ind w:firstLine="1418"/>
        <w:jc w:val="both"/>
      </w:pPr>
    </w:p>
    <w:p w14:paraId="5A8CEFE3" w14:textId="05EEFA92" w:rsidR="00785919" w:rsidRPr="00785919" w:rsidRDefault="00785919" w:rsidP="00785919">
      <w:pPr>
        <w:ind w:firstLine="1418"/>
        <w:jc w:val="both"/>
      </w:pPr>
      <w:r w:rsidRPr="00785919">
        <w:t xml:space="preserve">I </w:t>
      </w:r>
      <w:bookmarkStart w:id="0" w:name="_Hlk64813189"/>
      <w:r w:rsidRPr="00785919">
        <w:t>–</w:t>
      </w:r>
      <w:bookmarkEnd w:id="0"/>
      <w:r w:rsidRPr="00785919">
        <w:t xml:space="preserve"> </w:t>
      </w:r>
      <w:r w:rsidR="00101ADE">
        <w:t>a</w:t>
      </w:r>
      <w:r w:rsidRPr="00785919">
        <w:t>tendimento com profissionais da assistência social;</w:t>
      </w:r>
    </w:p>
    <w:p w14:paraId="702DE7E8" w14:textId="77777777" w:rsidR="007C3DE2" w:rsidRDefault="007C3DE2" w:rsidP="00785919">
      <w:pPr>
        <w:ind w:firstLine="1418"/>
        <w:jc w:val="both"/>
      </w:pPr>
    </w:p>
    <w:p w14:paraId="6BDBCCA6" w14:textId="36863FFF" w:rsidR="00785919" w:rsidRPr="00785919" w:rsidRDefault="00785919" w:rsidP="00785919">
      <w:pPr>
        <w:ind w:firstLine="1418"/>
        <w:jc w:val="both"/>
      </w:pPr>
      <w:r w:rsidRPr="00785919">
        <w:t xml:space="preserve">II – </w:t>
      </w:r>
      <w:r w:rsidR="00101ADE">
        <w:t>a</w:t>
      </w:r>
      <w:r w:rsidRPr="00785919">
        <w:t xml:space="preserve">tendimento </w:t>
      </w:r>
      <w:r w:rsidR="00101ADE">
        <w:t>j</w:t>
      </w:r>
      <w:r w:rsidRPr="00785919">
        <w:t>urídico especializado;</w:t>
      </w:r>
      <w:r w:rsidR="00101ADE">
        <w:t xml:space="preserve"> e</w:t>
      </w:r>
    </w:p>
    <w:p w14:paraId="50202273" w14:textId="77777777" w:rsidR="007C3DE2" w:rsidRDefault="007C3DE2" w:rsidP="00785919">
      <w:pPr>
        <w:ind w:firstLine="1418"/>
        <w:jc w:val="both"/>
      </w:pPr>
    </w:p>
    <w:p w14:paraId="6A46FFCD" w14:textId="54B7BF3C" w:rsidR="00785919" w:rsidRPr="00785919" w:rsidRDefault="00785919" w:rsidP="00785919">
      <w:pPr>
        <w:ind w:firstLine="1418"/>
        <w:jc w:val="both"/>
      </w:pPr>
      <w:r w:rsidRPr="00785919">
        <w:t xml:space="preserve">III – </w:t>
      </w:r>
      <w:r w:rsidR="00101ADE">
        <w:t>a</w:t>
      </w:r>
      <w:r w:rsidRPr="00785919">
        <w:t xml:space="preserve">tendimento com profissionais da área da </w:t>
      </w:r>
      <w:r w:rsidR="00101ADE">
        <w:t>s</w:t>
      </w:r>
      <w:r w:rsidRPr="00785919">
        <w:t>aúde</w:t>
      </w:r>
      <w:r w:rsidR="00101ADE">
        <w:t>.</w:t>
      </w:r>
    </w:p>
    <w:p w14:paraId="62F8FBDC" w14:textId="77777777" w:rsidR="007C3DE2" w:rsidRDefault="007C3DE2" w:rsidP="00785919">
      <w:pPr>
        <w:ind w:firstLine="1418"/>
        <w:jc w:val="both"/>
        <w:rPr>
          <w:b/>
          <w:bCs/>
        </w:rPr>
      </w:pPr>
    </w:p>
    <w:p w14:paraId="40D05349" w14:textId="761F33EA" w:rsidR="00785919" w:rsidRPr="00785919" w:rsidRDefault="00785919" w:rsidP="00785919">
      <w:pPr>
        <w:ind w:firstLine="1418"/>
        <w:jc w:val="both"/>
      </w:pPr>
      <w:r w:rsidRPr="00785919">
        <w:rPr>
          <w:b/>
          <w:bCs/>
        </w:rPr>
        <w:t xml:space="preserve">Art. 7º </w:t>
      </w:r>
      <w:r w:rsidR="003653DA">
        <w:rPr>
          <w:b/>
          <w:bCs/>
        </w:rPr>
        <w:t xml:space="preserve"> </w:t>
      </w:r>
      <w:r w:rsidRPr="00785919">
        <w:t xml:space="preserve">A Casa de Acolhimento para a População LGBTQIA+ poderá, observados os princípios da </w:t>
      </w:r>
      <w:r w:rsidR="00D32838">
        <w:t>c</w:t>
      </w:r>
      <w:r w:rsidRPr="00785919">
        <w:t xml:space="preserve">onveniência e </w:t>
      </w:r>
      <w:r w:rsidR="0017658D">
        <w:t xml:space="preserve">da </w:t>
      </w:r>
      <w:r w:rsidR="00D32838">
        <w:t>e</w:t>
      </w:r>
      <w:r w:rsidRPr="00785919">
        <w:t>conomia, firmar convênios, parcerias e demais serviços</w:t>
      </w:r>
      <w:r w:rsidR="005F76AC">
        <w:t xml:space="preserve"> considerados</w:t>
      </w:r>
      <w:r w:rsidRPr="00785919">
        <w:t xml:space="preserve"> essenciais ao seu funcionamento.</w:t>
      </w:r>
    </w:p>
    <w:p w14:paraId="18BCEFAC" w14:textId="77777777" w:rsidR="007C3DE2" w:rsidRDefault="007C3DE2" w:rsidP="00785919">
      <w:pPr>
        <w:ind w:firstLine="1418"/>
        <w:jc w:val="both"/>
        <w:rPr>
          <w:b/>
          <w:bCs/>
        </w:rPr>
      </w:pPr>
      <w:bookmarkStart w:id="1" w:name="_30j0zll"/>
      <w:bookmarkEnd w:id="1"/>
    </w:p>
    <w:p w14:paraId="1317DC02" w14:textId="414F3E02" w:rsidR="00785919" w:rsidRPr="00785919" w:rsidRDefault="00785919" w:rsidP="00785919">
      <w:pPr>
        <w:ind w:firstLine="1418"/>
        <w:jc w:val="both"/>
      </w:pPr>
      <w:r w:rsidRPr="00785919">
        <w:rPr>
          <w:b/>
          <w:bCs/>
        </w:rPr>
        <w:t xml:space="preserve">Art. </w:t>
      </w:r>
      <w:r w:rsidR="003653DA">
        <w:rPr>
          <w:b/>
          <w:bCs/>
        </w:rPr>
        <w:t>8</w:t>
      </w:r>
      <w:r w:rsidRPr="00785919">
        <w:rPr>
          <w:b/>
          <w:bCs/>
        </w:rPr>
        <w:t>º</w:t>
      </w:r>
      <w:r w:rsidR="003653DA">
        <w:rPr>
          <w:b/>
          <w:bCs/>
        </w:rPr>
        <w:t xml:space="preserve"> </w:t>
      </w:r>
      <w:r w:rsidRPr="00785919">
        <w:rPr>
          <w:b/>
          <w:bCs/>
        </w:rPr>
        <w:t xml:space="preserve"> </w:t>
      </w:r>
      <w:r w:rsidRPr="00785919">
        <w:t>A sede</w:t>
      </w:r>
      <w:r w:rsidR="0062235A">
        <w:t xml:space="preserve"> da </w:t>
      </w:r>
      <w:r w:rsidR="0062235A" w:rsidRPr="0062235A">
        <w:t>Casa de Acolhimento para a População LGBTQIA+</w:t>
      </w:r>
      <w:r w:rsidRPr="00785919">
        <w:t xml:space="preserve"> será instituída a partir do uso de bem público ocioso, </w:t>
      </w:r>
      <w:r w:rsidR="00217049">
        <w:t>conforme</w:t>
      </w:r>
      <w:r w:rsidR="00217049" w:rsidRPr="00785919">
        <w:t xml:space="preserve"> </w:t>
      </w:r>
      <w:r w:rsidRPr="00785919">
        <w:t>previsto na Lei Orgânica do Município</w:t>
      </w:r>
      <w:r w:rsidR="00217049">
        <w:t xml:space="preserve"> de Porto Alegre</w:t>
      </w:r>
      <w:r w:rsidR="00A30651">
        <w:t xml:space="preserve"> (LOMPA)</w:t>
      </w:r>
      <w:r w:rsidRPr="00785919">
        <w:t xml:space="preserve">, ou </w:t>
      </w:r>
      <w:bookmarkStart w:id="2" w:name="_i4e00n7whgma"/>
      <w:bookmarkEnd w:id="2"/>
      <w:r w:rsidR="00E20F6D">
        <w:t>por meio da indicação</w:t>
      </w:r>
      <w:r w:rsidR="00E20F6D" w:rsidRPr="00785919" w:rsidDel="00E20F6D">
        <w:t xml:space="preserve"> </w:t>
      </w:r>
      <w:r w:rsidR="00E20F6D">
        <w:t xml:space="preserve">de </w:t>
      </w:r>
      <w:r w:rsidR="0062235A">
        <w:t>seu</w:t>
      </w:r>
      <w:r w:rsidRPr="00785919">
        <w:t xml:space="preserve"> uso a partir de emendas impositivas </w:t>
      </w:r>
      <w:r w:rsidR="0062235A">
        <w:t>da Câmara Municipal</w:t>
      </w:r>
      <w:r w:rsidRPr="00785919">
        <w:t>.</w:t>
      </w:r>
    </w:p>
    <w:p w14:paraId="689023AA" w14:textId="77777777" w:rsidR="007C3DE2" w:rsidRDefault="007C3DE2" w:rsidP="00785919">
      <w:pPr>
        <w:ind w:firstLine="1418"/>
        <w:jc w:val="both"/>
        <w:rPr>
          <w:b/>
          <w:bCs/>
        </w:rPr>
      </w:pPr>
    </w:p>
    <w:p w14:paraId="155FECF4" w14:textId="3CE97273" w:rsidR="00785919" w:rsidRPr="00785919" w:rsidRDefault="00785919" w:rsidP="00785919">
      <w:pPr>
        <w:ind w:firstLine="1418"/>
        <w:jc w:val="both"/>
      </w:pPr>
      <w:r w:rsidRPr="00785919">
        <w:rPr>
          <w:b/>
          <w:bCs/>
        </w:rPr>
        <w:t xml:space="preserve">Art. </w:t>
      </w:r>
      <w:r w:rsidR="003653DA">
        <w:rPr>
          <w:b/>
          <w:bCs/>
        </w:rPr>
        <w:t>9º</w:t>
      </w:r>
      <w:r w:rsidRPr="00785919">
        <w:rPr>
          <w:b/>
          <w:bCs/>
        </w:rPr>
        <w:t xml:space="preserve"> </w:t>
      </w:r>
      <w:r w:rsidR="003653DA">
        <w:rPr>
          <w:b/>
          <w:bCs/>
        </w:rPr>
        <w:t xml:space="preserve"> </w:t>
      </w:r>
      <w:r w:rsidRPr="00785919">
        <w:t xml:space="preserve">Os recursos para implantação e manutenção da </w:t>
      </w:r>
      <w:r w:rsidR="00A30651" w:rsidRPr="00785919">
        <w:t>Casa de Acolhimento para a População LGBTQIA+</w:t>
      </w:r>
      <w:r w:rsidRPr="00785919">
        <w:t xml:space="preserve"> serão provenientes de fundo </w:t>
      </w:r>
      <w:r w:rsidR="00A30651">
        <w:t xml:space="preserve">a ser </w:t>
      </w:r>
      <w:r w:rsidRPr="00785919">
        <w:t xml:space="preserve">criado especificamente para este fim, podendo ser complementado pelo montante recolhido por meio das multas instituídas pelo </w:t>
      </w:r>
      <w:r w:rsidR="00A30651">
        <w:t>a</w:t>
      </w:r>
      <w:r w:rsidRPr="00785919">
        <w:t xml:space="preserve">rt. 150 da </w:t>
      </w:r>
      <w:r w:rsidR="00A30651">
        <w:t>LOMPA</w:t>
      </w:r>
      <w:r w:rsidRPr="00785919">
        <w:t>, desde que respeitadas as capacidades estatais do Governo Municipal.</w:t>
      </w:r>
    </w:p>
    <w:p w14:paraId="4D5DC7F6" w14:textId="77777777" w:rsidR="007C3DE2" w:rsidRDefault="007C3DE2" w:rsidP="00785919">
      <w:pPr>
        <w:ind w:firstLine="1418"/>
        <w:jc w:val="both"/>
        <w:rPr>
          <w:b/>
          <w:bCs/>
        </w:rPr>
      </w:pPr>
    </w:p>
    <w:p w14:paraId="1C121746" w14:textId="2B0027E1" w:rsidR="00785919" w:rsidRPr="00785919" w:rsidRDefault="00785919" w:rsidP="00785919">
      <w:pPr>
        <w:ind w:firstLine="1418"/>
        <w:jc w:val="both"/>
      </w:pPr>
      <w:r w:rsidRPr="00785919">
        <w:rPr>
          <w:b/>
          <w:bCs/>
        </w:rPr>
        <w:t>Art. 1</w:t>
      </w:r>
      <w:r w:rsidR="003653DA">
        <w:rPr>
          <w:b/>
          <w:bCs/>
        </w:rPr>
        <w:t>0.</w:t>
      </w:r>
      <w:r w:rsidRPr="00785919">
        <w:rPr>
          <w:b/>
          <w:bCs/>
        </w:rPr>
        <w:t xml:space="preserve"> </w:t>
      </w:r>
      <w:r w:rsidR="003653DA">
        <w:rPr>
          <w:b/>
          <w:bCs/>
        </w:rPr>
        <w:t xml:space="preserve"> </w:t>
      </w:r>
      <w:r w:rsidRPr="00785919">
        <w:t xml:space="preserve">A </w:t>
      </w:r>
      <w:r w:rsidR="008C43CE" w:rsidRPr="00785919">
        <w:t>Casa de Acolhimento para a População LGBTQIA+</w:t>
      </w:r>
      <w:r w:rsidRPr="00785919">
        <w:t xml:space="preserve"> será subordinada a </w:t>
      </w:r>
      <w:r w:rsidR="008C43CE">
        <w:t>c</w:t>
      </w:r>
      <w:r w:rsidRPr="00785919">
        <w:t>onselho paritário</w:t>
      </w:r>
      <w:r w:rsidR="00DC5D0E">
        <w:t>, a ser formado</w:t>
      </w:r>
      <w:r w:rsidRPr="00785919">
        <w:t xml:space="preserve"> por representantes </w:t>
      </w:r>
      <w:r w:rsidR="00DC5D0E">
        <w:t>das s</w:t>
      </w:r>
      <w:r w:rsidRPr="00785919">
        <w:t xml:space="preserve">ecretarias </w:t>
      </w:r>
      <w:r w:rsidR="00DC5D0E">
        <w:t>integrantes d</w:t>
      </w:r>
      <w:r w:rsidR="00E20F6D">
        <w:t>e</w:t>
      </w:r>
      <w:r w:rsidR="00DC5D0E">
        <w:t xml:space="preserve"> </w:t>
      </w:r>
      <w:r w:rsidR="00E20F6D">
        <w:t>e</w:t>
      </w:r>
      <w:r w:rsidR="00DC5D0E">
        <w:t xml:space="preserve">ixo de </w:t>
      </w:r>
      <w:r w:rsidR="00E20F6D">
        <w:t>g</w:t>
      </w:r>
      <w:r w:rsidR="00DC5D0E">
        <w:t xml:space="preserve">estão </w:t>
      </w:r>
      <w:r w:rsidR="00E20F6D">
        <w:t>de d</w:t>
      </w:r>
      <w:r w:rsidR="00DC5D0E">
        <w:t xml:space="preserve">esenvolvimento </w:t>
      </w:r>
      <w:r w:rsidR="00E20F6D">
        <w:t>s</w:t>
      </w:r>
      <w:r w:rsidR="00DC5D0E">
        <w:t xml:space="preserve">ocial </w:t>
      </w:r>
      <w:r w:rsidR="00DC5D0E" w:rsidRPr="00503357">
        <w:t>da Prefeitura de Porto Alegre</w:t>
      </w:r>
      <w:r w:rsidR="0047353D" w:rsidRPr="00503357">
        <w:t xml:space="preserve"> e</w:t>
      </w:r>
      <w:r w:rsidRPr="00503357">
        <w:t xml:space="preserve"> representantes</w:t>
      </w:r>
      <w:r w:rsidRPr="00785919">
        <w:t xml:space="preserve"> de </w:t>
      </w:r>
      <w:r w:rsidR="00DC5D0E">
        <w:t>o</w:t>
      </w:r>
      <w:r w:rsidRPr="00785919">
        <w:t xml:space="preserve">rganizações </w:t>
      </w:r>
      <w:r w:rsidR="00DC5D0E">
        <w:t>n</w:t>
      </w:r>
      <w:r w:rsidRPr="00785919">
        <w:t>ão-</w:t>
      </w:r>
      <w:r w:rsidR="00DC5D0E">
        <w:t>g</w:t>
      </w:r>
      <w:r w:rsidRPr="00785919">
        <w:t>overnamentais atuantes nas temáticas de gênero, sexualidade, população LGBTQIA+, políticas públicas e assistência social</w:t>
      </w:r>
      <w:r w:rsidR="0047353D">
        <w:t>.</w:t>
      </w:r>
    </w:p>
    <w:p w14:paraId="23CAF1EE" w14:textId="7D13889B" w:rsidR="00916846" w:rsidRPr="00D167BA" w:rsidRDefault="00916846" w:rsidP="00785919">
      <w:pPr>
        <w:ind w:firstLine="1418"/>
        <w:jc w:val="both"/>
      </w:pPr>
    </w:p>
    <w:p w14:paraId="1DC005E8" w14:textId="4006BF5A" w:rsidR="00836FD6" w:rsidRDefault="00C27B67">
      <w:pPr>
        <w:ind w:firstLine="1418"/>
        <w:jc w:val="both"/>
      </w:pPr>
      <w:r w:rsidRPr="00D167BA">
        <w:rPr>
          <w:b/>
        </w:rPr>
        <w:t xml:space="preserve">Art. </w:t>
      </w:r>
      <w:r w:rsidR="00B169DA" w:rsidRPr="00D167BA">
        <w:rPr>
          <w:b/>
        </w:rPr>
        <w:t>1</w:t>
      </w:r>
      <w:r w:rsidR="003653DA">
        <w:rPr>
          <w:b/>
        </w:rPr>
        <w:t>1</w:t>
      </w:r>
      <w:r w:rsidR="00B169DA" w:rsidRPr="00D167BA">
        <w:rPr>
          <w:b/>
        </w:rPr>
        <w:t>.</w:t>
      </w:r>
      <w:r w:rsidRPr="00D167BA">
        <w:rPr>
          <w:b/>
        </w:rPr>
        <w:t xml:space="preserve"> </w:t>
      </w:r>
      <w:r w:rsidRPr="00D167BA">
        <w:t xml:space="preserve"> Esta Lei entra em vigor na data de sua publicação.</w:t>
      </w:r>
    </w:p>
    <w:p w14:paraId="25A09EF7" w14:textId="1DFF3868" w:rsidR="007C3DE2" w:rsidRDefault="007C3DE2">
      <w:pPr>
        <w:ind w:firstLine="1418"/>
        <w:jc w:val="both"/>
      </w:pPr>
    </w:p>
    <w:p w14:paraId="6323BCFB" w14:textId="6D15C2CC" w:rsidR="007C3DE2" w:rsidRDefault="007C3DE2">
      <w:pPr>
        <w:ind w:firstLine="1418"/>
        <w:jc w:val="both"/>
      </w:pPr>
    </w:p>
    <w:p w14:paraId="76DEEF3D" w14:textId="618CDCFC" w:rsidR="007C3DE2" w:rsidRDefault="007C3DE2">
      <w:pPr>
        <w:ind w:firstLine="1418"/>
        <w:jc w:val="both"/>
      </w:pPr>
    </w:p>
    <w:p w14:paraId="7406AA0D" w14:textId="3EB6B440" w:rsidR="007C3DE2" w:rsidRDefault="007C3DE2">
      <w:pPr>
        <w:ind w:firstLine="1418"/>
        <w:jc w:val="both"/>
      </w:pPr>
    </w:p>
    <w:p w14:paraId="022DDB16" w14:textId="343A9AAF" w:rsidR="007C3DE2" w:rsidRDefault="007C3DE2">
      <w:pPr>
        <w:ind w:firstLine="1418"/>
        <w:jc w:val="both"/>
      </w:pPr>
    </w:p>
    <w:p w14:paraId="474CEE30" w14:textId="6D5A8445" w:rsidR="007C3DE2" w:rsidRDefault="007C3DE2">
      <w:pPr>
        <w:ind w:firstLine="1418"/>
        <w:jc w:val="both"/>
      </w:pPr>
    </w:p>
    <w:p w14:paraId="44914D4B" w14:textId="4CEADC66" w:rsidR="007C3DE2" w:rsidRPr="007C3DE2" w:rsidRDefault="007C3DE2" w:rsidP="007C3DE2">
      <w:pPr>
        <w:jc w:val="both"/>
        <w:rPr>
          <w:sz w:val="20"/>
          <w:szCs w:val="20"/>
        </w:rPr>
      </w:pPr>
      <w:r w:rsidRPr="007C3DE2">
        <w:rPr>
          <w:sz w:val="20"/>
          <w:szCs w:val="20"/>
        </w:rPr>
        <w:t>/JEN</w:t>
      </w:r>
    </w:p>
    <w:sectPr w:rsidR="007C3DE2" w:rsidRPr="007C3DE2">
      <w:headerReference w:type="default" r:id="rId8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7D17B" w14:textId="77777777" w:rsidR="00741897" w:rsidRDefault="00741897">
      <w:r>
        <w:separator/>
      </w:r>
    </w:p>
  </w:endnote>
  <w:endnote w:type="continuationSeparator" w:id="0">
    <w:p w14:paraId="6457EB3B" w14:textId="77777777" w:rsidR="00741897" w:rsidRDefault="0074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34FB5" w14:textId="77777777" w:rsidR="00741897" w:rsidRDefault="00741897">
      <w:r>
        <w:separator/>
      </w:r>
    </w:p>
  </w:footnote>
  <w:footnote w:type="continuationSeparator" w:id="0">
    <w:p w14:paraId="1D80D689" w14:textId="77777777" w:rsidR="00741897" w:rsidRDefault="00741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117EE" w14:textId="77777777" w:rsidR="00836FD6" w:rsidRDefault="00C27B67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799E83E6" wp14:editId="5136FAD3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1115" cy="252730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0320" cy="2520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35pt;height:19.8pt" wp14:anchorId="5B8DA981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14:paraId="51800896" w14:textId="77777777" w:rsidR="00836FD6" w:rsidRDefault="00C27B67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B0306">
      <w:rPr>
        <w:b/>
        <w:bCs/>
        <w:noProof/>
      </w:rPr>
      <w:t>6</w:t>
    </w:r>
    <w:r>
      <w:rPr>
        <w:b/>
        <w:bCs/>
      </w:rPr>
      <w:fldChar w:fldCharType="end"/>
    </w:r>
    <w:r>
      <w:rPr>
        <w:b/>
        <w:bCs/>
      </w:rPr>
      <w:t>|__</w:t>
    </w:r>
  </w:p>
  <w:p w14:paraId="37D63789" w14:textId="77777777" w:rsidR="00836FD6" w:rsidRDefault="00836FD6">
    <w:pPr>
      <w:pStyle w:val="Cabealho"/>
      <w:jc w:val="right"/>
      <w:rPr>
        <w:b/>
        <w:bCs/>
      </w:rPr>
    </w:pPr>
  </w:p>
  <w:p w14:paraId="301D62D4" w14:textId="54D89864" w:rsidR="00836FD6" w:rsidRDefault="00C27B67">
    <w:pPr>
      <w:pStyle w:val="Cabealho"/>
      <w:jc w:val="right"/>
      <w:rPr>
        <w:b/>
        <w:bCs/>
      </w:rPr>
    </w:pPr>
    <w:r>
      <w:rPr>
        <w:b/>
        <w:bCs/>
      </w:rPr>
      <w:t>PROC. Nº   0</w:t>
    </w:r>
    <w:r w:rsidR="005229EC">
      <w:rPr>
        <w:b/>
        <w:bCs/>
      </w:rPr>
      <w:t>195</w:t>
    </w:r>
    <w:r>
      <w:rPr>
        <w:b/>
        <w:bCs/>
      </w:rPr>
      <w:t>/2</w:t>
    </w:r>
    <w:r w:rsidR="002C72E4">
      <w:rPr>
        <w:b/>
        <w:bCs/>
      </w:rPr>
      <w:t>1</w:t>
    </w:r>
  </w:p>
  <w:p w14:paraId="7265339B" w14:textId="2A54BC8D" w:rsidR="00836FD6" w:rsidRDefault="002C72E4">
    <w:pPr>
      <w:pStyle w:val="Cabealho"/>
      <w:jc w:val="right"/>
    </w:pPr>
    <w:r>
      <w:rPr>
        <w:b/>
        <w:bCs/>
      </w:rPr>
      <w:t>PLL     Nº     0</w:t>
    </w:r>
    <w:r w:rsidR="005229EC">
      <w:rPr>
        <w:b/>
        <w:bCs/>
      </w:rPr>
      <w:t>60</w:t>
    </w:r>
    <w:r>
      <w:rPr>
        <w:b/>
        <w:bCs/>
      </w:rPr>
      <w:t>/21</w:t>
    </w:r>
  </w:p>
  <w:p w14:paraId="2F79C449" w14:textId="77777777" w:rsidR="00836FD6" w:rsidRDefault="00836FD6">
    <w:pPr>
      <w:pStyle w:val="Cabealho"/>
      <w:jc w:val="right"/>
      <w:rPr>
        <w:b/>
        <w:bCs/>
      </w:rPr>
    </w:pPr>
  </w:p>
  <w:p w14:paraId="6D6BEB79" w14:textId="77777777" w:rsidR="00836FD6" w:rsidRDefault="00836FD6">
    <w:pPr>
      <w:pStyle w:val="Cabealho"/>
      <w:jc w:val="right"/>
      <w:rPr>
        <w:b/>
        <w:bCs/>
      </w:rPr>
    </w:pPr>
  </w:p>
  <w:p w14:paraId="603581AF" w14:textId="77777777" w:rsidR="00836FD6" w:rsidRDefault="00836FD6">
    <w:pPr>
      <w:pStyle w:val="Cabealho"/>
      <w:jc w:val="right"/>
      <w:rPr>
        <w:b/>
        <w:bCs/>
      </w:rPr>
    </w:pPr>
  </w:p>
  <w:p w14:paraId="7FBCF2CF" w14:textId="77777777" w:rsidR="00836FD6" w:rsidRDefault="00836FD6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80F2D"/>
    <w:multiLevelType w:val="multilevel"/>
    <w:tmpl w:val="DA46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51079"/>
    <w:multiLevelType w:val="multilevel"/>
    <w:tmpl w:val="4EBE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A31E16"/>
    <w:multiLevelType w:val="multilevel"/>
    <w:tmpl w:val="C06E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FD6"/>
    <w:rsid w:val="000403A8"/>
    <w:rsid w:val="0005570F"/>
    <w:rsid w:val="00055F3F"/>
    <w:rsid w:val="000606BD"/>
    <w:rsid w:val="00087061"/>
    <w:rsid w:val="00090408"/>
    <w:rsid w:val="000913DC"/>
    <w:rsid w:val="00094CC7"/>
    <w:rsid w:val="000B0B53"/>
    <w:rsid w:val="00101ADE"/>
    <w:rsid w:val="001212A4"/>
    <w:rsid w:val="001267BD"/>
    <w:rsid w:val="001379C5"/>
    <w:rsid w:val="0017658D"/>
    <w:rsid w:val="00185057"/>
    <w:rsid w:val="001904FA"/>
    <w:rsid w:val="001A48F2"/>
    <w:rsid w:val="001E512F"/>
    <w:rsid w:val="00217049"/>
    <w:rsid w:val="0022093A"/>
    <w:rsid w:val="00231E16"/>
    <w:rsid w:val="00241156"/>
    <w:rsid w:val="002435C0"/>
    <w:rsid w:val="002517A8"/>
    <w:rsid w:val="0025347E"/>
    <w:rsid w:val="002678A4"/>
    <w:rsid w:val="002C0B11"/>
    <w:rsid w:val="002C72E4"/>
    <w:rsid w:val="002F769A"/>
    <w:rsid w:val="00347C5B"/>
    <w:rsid w:val="003653DA"/>
    <w:rsid w:val="003662D4"/>
    <w:rsid w:val="00370CC4"/>
    <w:rsid w:val="0037170B"/>
    <w:rsid w:val="0037268D"/>
    <w:rsid w:val="003A113B"/>
    <w:rsid w:val="003F2623"/>
    <w:rsid w:val="00423CC6"/>
    <w:rsid w:val="0042690B"/>
    <w:rsid w:val="00433F0B"/>
    <w:rsid w:val="00434798"/>
    <w:rsid w:val="00443078"/>
    <w:rsid w:val="00444BDC"/>
    <w:rsid w:val="004528E4"/>
    <w:rsid w:val="0047353D"/>
    <w:rsid w:val="004A0F86"/>
    <w:rsid w:val="004A2BE3"/>
    <w:rsid w:val="004A6630"/>
    <w:rsid w:val="004B6DBF"/>
    <w:rsid w:val="004C44C1"/>
    <w:rsid w:val="004D075E"/>
    <w:rsid w:val="004D58E7"/>
    <w:rsid w:val="004D6B86"/>
    <w:rsid w:val="0050278B"/>
    <w:rsid w:val="00503357"/>
    <w:rsid w:val="005110AD"/>
    <w:rsid w:val="0051281C"/>
    <w:rsid w:val="0051742D"/>
    <w:rsid w:val="005229EC"/>
    <w:rsid w:val="0054753D"/>
    <w:rsid w:val="00566687"/>
    <w:rsid w:val="00593719"/>
    <w:rsid w:val="005C1B42"/>
    <w:rsid w:val="005C241E"/>
    <w:rsid w:val="005D7D21"/>
    <w:rsid w:val="005F2DC7"/>
    <w:rsid w:val="005F76AC"/>
    <w:rsid w:val="00601457"/>
    <w:rsid w:val="006163B8"/>
    <w:rsid w:val="0062235A"/>
    <w:rsid w:val="006326A7"/>
    <w:rsid w:val="00637BD5"/>
    <w:rsid w:val="00645061"/>
    <w:rsid w:val="00694652"/>
    <w:rsid w:val="00701C9C"/>
    <w:rsid w:val="00702A08"/>
    <w:rsid w:val="00703FB0"/>
    <w:rsid w:val="0072511A"/>
    <w:rsid w:val="00741897"/>
    <w:rsid w:val="00780FDB"/>
    <w:rsid w:val="00785919"/>
    <w:rsid w:val="00795876"/>
    <w:rsid w:val="007A7774"/>
    <w:rsid w:val="007C3A82"/>
    <w:rsid w:val="007C3DE2"/>
    <w:rsid w:val="007C402C"/>
    <w:rsid w:val="00801137"/>
    <w:rsid w:val="00802658"/>
    <w:rsid w:val="00836FD6"/>
    <w:rsid w:val="00867923"/>
    <w:rsid w:val="00872C63"/>
    <w:rsid w:val="0088371A"/>
    <w:rsid w:val="00897C21"/>
    <w:rsid w:val="008B6D15"/>
    <w:rsid w:val="008C43CE"/>
    <w:rsid w:val="008F19D9"/>
    <w:rsid w:val="00904031"/>
    <w:rsid w:val="00916846"/>
    <w:rsid w:val="009311EB"/>
    <w:rsid w:val="009365A8"/>
    <w:rsid w:val="009414CF"/>
    <w:rsid w:val="009515B4"/>
    <w:rsid w:val="009520E3"/>
    <w:rsid w:val="0095637A"/>
    <w:rsid w:val="009615BC"/>
    <w:rsid w:val="00985FB9"/>
    <w:rsid w:val="00986B0E"/>
    <w:rsid w:val="009945F1"/>
    <w:rsid w:val="009A785D"/>
    <w:rsid w:val="009B3E54"/>
    <w:rsid w:val="00A047A7"/>
    <w:rsid w:val="00A1383A"/>
    <w:rsid w:val="00A15FEB"/>
    <w:rsid w:val="00A30651"/>
    <w:rsid w:val="00A35539"/>
    <w:rsid w:val="00A37392"/>
    <w:rsid w:val="00A44EB0"/>
    <w:rsid w:val="00A54285"/>
    <w:rsid w:val="00A92F98"/>
    <w:rsid w:val="00A944E5"/>
    <w:rsid w:val="00AA3198"/>
    <w:rsid w:val="00AB0306"/>
    <w:rsid w:val="00AB068E"/>
    <w:rsid w:val="00AB251D"/>
    <w:rsid w:val="00AC42CC"/>
    <w:rsid w:val="00AC5084"/>
    <w:rsid w:val="00B133C0"/>
    <w:rsid w:val="00B169DA"/>
    <w:rsid w:val="00B607C5"/>
    <w:rsid w:val="00BA1223"/>
    <w:rsid w:val="00BA2747"/>
    <w:rsid w:val="00BB72F1"/>
    <w:rsid w:val="00BD0CC7"/>
    <w:rsid w:val="00C0657A"/>
    <w:rsid w:val="00C27B67"/>
    <w:rsid w:val="00C4504B"/>
    <w:rsid w:val="00CC4046"/>
    <w:rsid w:val="00CE0B11"/>
    <w:rsid w:val="00D167BA"/>
    <w:rsid w:val="00D32417"/>
    <w:rsid w:val="00D32838"/>
    <w:rsid w:val="00D54A36"/>
    <w:rsid w:val="00D55241"/>
    <w:rsid w:val="00D602A4"/>
    <w:rsid w:val="00D77474"/>
    <w:rsid w:val="00D84E7F"/>
    <w:rsid w:val="00DA3B72"/>
    <w:rsid w:val="00DB0BA1"/>
    <w:rsid w:val="00DC5D0E"/>
    <w:rsid w:val="00DF4464"/>
    <w:rsid w:val="00E1332B"/>
    <w:rsid w:val="00E20F6D"/>
    <w:rsid w:val="00E21D27"/>
    <w:rsid w:val="00E32F68"/>
    <w:rsid w:val="00E45F32"/>
    <w:rsid w:val="00E82EBD"/>
    <w:rsid w:val="00E850B7"/>
    <w:rsid w:val="00EC6371"/>
    <w:rsid w:val="00EC7B85"/>
    <w:rsid w:val="00EF7D26"/>
    <w:rsid w:val="00F16DE3"/>
    <w:rsid w:val="00F30535"/>
    <w:rsid w:val="00F426D5"/>
    <w:rsid w:val="00F536F0"/>
    <w:rsid w:val="00F700F1"/>
    <w:rsid w:val="00F9164F"/>
    <w:rsid w:val="00FA7363"/>
    <w:rsid w:val="00FD22F6"/>
    <w:rsid w:val="00FE03A5"/>
    <w:rsid w:val="00FE2838"/>
    <w:rsid w:val="00FF0144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E585"/>
  <w15:docId w15:val="{EFA1955A-2A00-46F4-9D33-CB273024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705A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F705A0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705A0"/>
    <w:rPr>
      <w:b/>
      <w:bCs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styleId="nfase">
    <w:name w:val="Emphasis"/>
    <w:basedOn w:val="Fontepargpadro"/>
    <w:uiPriority w:val="20"/>
    <w:qFormat/>
    <w:rsid w:val="0096709D"/>
    <w:rPr>
      <w:i/>
      <w:i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F705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705A0"/>
    <w:rPr>
      <w:b/>
      <w:bCs/>
    </w:rPr>
  </w:style>
  <w:style w:type="paragraph" w:customStyle="1" w:styleId="textojustificado">
    <w:name w:val="texto_justificado"/>
    <w:basedOn w:val="Normal"/>
    <w:qFormat/>
    <w:rsid w:val="00647AF7"/>
    <w:pPr>
      <w:spacing w:beforeAutospacing="1" w:afterAutospacing="1"/>
    </w:pPr>
  </w:style>
  <w:style w:type="paragraph" w:customStyle="1" w:styleId="textoalinhadodireita">
    <w:name w:val="texto_alinhado_direita"/>
    <w:basedOn w:val="Normal"/>
    <w:qFormat/>
    <w:rsid w:val="00647AF7"/>
    <w:pPr>
      <w:spacing w:beforeAutospacing="1" w:afterAutospacing="1"/>
    </w:pPr>
  </w:style>
  <w:style w:type="paragraph" w:customStyle="1" w:styleId="tabelatextoalinhadoesquerda">
    <w:name w:val="tabela_texto_alinhado_esquerda"/>
    <w:basedOn w:val="Normal"/>
    <w:qFormat/>
    <w:rsid w:val="00647AF7"/>
    <w:pPr>
      <w:spacing w:beforeAutospacing="1" w:afterAutospacing="1"/>
    </w:pPr>
  </w:style>
  <w:style w:type="paragraph" w:customStyle="1" w:styleId="DocumentMap">
    <w:name w:val="DocumentMap"/>
    <w:qFormat/>
    <w:rPr>
      <w:sz w:val="24"/>
    </w:rPr>
  </w:style>
  <w:style w:type="paragraph" w:styleId="Reviso">
    <w:name w:val="Revision"/>
    <w:uiPriority w:val="99"/>
    <w:semiHidden/>
    <w:qFormat/>
    <w:rsid w:val="0070220A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A113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A1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1B13C-B1B4-456B-A975-11D7DBF5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5</Pages>
  <Words>1589</Words>
  <Characters>8586</Characters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2015-02-24T14:27:00Z</cp:lastPrinted>
  <dcterms:created xsi:type="dcterms:W3CDTF">2020-11-13T19:01:00Z</dcterms:created>
  <dcterms:modified xsi:type="dcterms:W3CDTF">2021-05-05T23:40:00Z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