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60A85" w14:textId="77777777" w:rsidR="00836FD6" w:rsidRDefault="00C27B67">
      <w:pPr>
        <w:jc w:val="center"/>
      </w:pPr>
      <w:r>
        <w:t>EXPOSIÇÃO DE MOTIVOS</w:t>
      </w:r>
    </w:p>
    <w:p w14:paraId="18BE5B9F" w14:textId="77777777" w:rsidR="00836FD6" w:rsidRDefault="00836FD6">
      <w:pPr>
        <w:jc w:val="center"/>
        <w:rPr>
          <w:bCs/>
          <w:color w:val="000000"/>
        </w:rPr>
      </w:pPr>
    </w:p>
    <w:p w14:paraId="44995AA4" w14:textId="77777777" w:rsidR="00BB72F1" w:rsidRDefault="00BB72F1">
      <w:pPr>
        <w:jc w:val="center"/>
        <w:rPr>
          <w:bCs/>
          <w:color w:val="000000"/>
        </w:rPr>
      </w:pPr>
    </w:p>
    <w:p w14:paraId="44FC4813" w14:textId="3F190652" w:rsidR="00D82B04" w:rsidRPr="00D82B04" w:rsidRDefault="00D82B04" w:rsidP="00D82B04">
      <w:pPr>
        <w:ind w:firstLine="1418"/>
        <w:jc w:val="both"/>
        <w:rPr>
          <w:rFonts w:eastAsia="Calibri"/>
          <w:lang w:eastAsia="en-US"/>
        </w:rPr>
      </w:pPr>
      <w:r w:rsidRPr="00D82B04">
        <w:rPr>
          <w:rFonts w:eastAsia="Calibri"/>
          <w:lang w:eastAsia="en-US"/>
        </w:rPr>
        <w:t>A Lei Complementar nº 12</w:t>
      </w:r>
      <w:r w:rsidR="00792FAF">
        <w:rPr>
          <w:rFonts w:eastAsia="Calibri"/>
          <w:lang w:eastAsia="en-US"/>
        </w:rPr>
        <w:t>,</w:t>
      </w:r>
      <w:r w:rsidRPr="00D82B04">
        <w:rPr>
          <w:rFonts w:eastAsia="Calibri"/>
          <w:lang w:eastAsia="en-US"/>
        </w:rPr>
        <w:t xml:space="preserve"> de 7 de janeiro de 1975</w:t>
      </w:r>
      <w:r w:rsidR="00792FAF">
        <w:rPr>
          <w:rFonts w:eastAsia="Calibri"/>
          <w:lang w:eastAsia="en-US"/>
        </w:rPr>
        <w:t>,</w:t>
      </w:r>
      <w:r w:rsidRPr="00D82B04">
        <w:rPr>
          <w:rFonts w:eastAsia="Calibri"/>
          <w:lang w:eastAsia="en-US"/>
        </w:rPr>
        <w:t xml:space="preserve"> </w:t>
      </w:r>
      <w:r w:rsidR="00F63760">
        <w:rPr>
          <w:rFonts w:eastAsia="Calibri"/>
          <w:lang w:eastAsia="en-US"/>
        </w:rPr>
        <w:t xml:space="preserve">e alterações posteriores, </w:t>
      </w:r>
      <w:r w:rsidR="00792FAF">
        <w:rPr>
          <w:rFonts w:eastAsia="Calibri"/>
          <w:lang w:eastAsia="en-US"/>
        </w:rPr>
        <w:t xml:space="preserve">em seu art. 30, trata do </w:t>
      </w:r>
      <w:r w:rsidR="00F63760">
        <w:rPr>
          <w:rFonts w:eastAsia="Calibri"/>
          <w:lang w:eastAsia="en-US"/>
        </w:rPr>
        <w:t>A</w:t>
      </w:r>
      <w:r w:rsidR="00792FAF">
        <w:rPr>
          <w:rFonts w:eastAsia="Calibri"/>
          <w:lang w:eastAsia="en-US"/>
        </w:rPr>
        <w:t xml:space="preserve">lvará de </w:t>
      </w:r>
      <w:r w:rsidR="00B232E3">
        <w:rPr>
          <w:rFonts w:eastAsia="Calibri"/>
          <w:lang w:eastAsia="en-US"/>
        </w:rPr>
        <w:t>L</w:t>
      </w:r>
      <w:r w:rsidR="00792FAF">
        <w:rPr>
          <w:rFonts w:eastAsia="Calibri"/>
          <w:lang w:eastAsia="en-US"/>
        </w:rPr>
        <w:t>icença da seguinte forma:</w:t>
      </w:r>
      <w:r w:rsidRPr="00D82B04">
        <w:rPr>
          <w:rFonts w:eastAsia="Calibri"/>
          <w:lang w:eastAsia="en-US"/>
        </w:rPr>
        <w:t> </w:t>
      </w:r>
    </w:p>
    <w:p w14:paraId="7DF6EEA7" w14:textId="77777777" w:rsidR="00855BB3" w:rsidRDefault="00855BB3" w:rsidP="00D82B04">
      <w:pPr>
        <w:ind w:firstLine="1418"/>
        <w:jc w:val="both"/>
        <w:rPr>
          <w:rFonts w:eastAsia="Calibri"/>
          <w:lang w:eastAsia="en-US"/>
        </w:rPr>
      </w:pPr>
    </w:p>
    <w:p w14:paraId="1D65D31A" w14:textId="1F7C4886"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Art. 30. O Alvará de Licença será expedido mediante requerimento ao Prefeito.</w:t>
      </w:r>
    </w:p>
    <w:p w14:paraId="666049E2"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 1º O Alvará de Licença terá validade enquanto não se modificarem quaisquer dos elementos essenciais nele inscritos.</w:t>
      </w:r>
    </w:p>
    <w:p w14:paraId="645C5E9D" w14:textId="2A7B76F5" w:rsidR="00855BB3" w:rsidRDefault="00D82B04" w:rsidP="00C900A7">
      <w:pPr>
        <w:ind w:left="2268"/>
        <w:jc w:val="both"/>
        <w:rPr>
          <w:rFonts w:eastAsia="Calibri"/>
          <w:lang w:eastAsia="en-US"/>
        </w:rPr>
      </w:pPr>
      <w:r w:rsidRPr="00C900A7">
        <w:rPr>
          <w:rFonts w:eastAsia="Calibri"/>
          <w:sz w:val="20"/>
          <w:szCs w:val="20"/>
          <w:lang w:eastAsia="en-US"/>
        </w:rPr>
        <w:t xml:space="preserve">§ 2º O estabelecimento cujo Alvará caducar deverá requerer outro com os novos característicos essenciais. </w:t>
      </w:r>
    </w:p>
    <w:p w14:paraId="649519FC" w14:textId="77777777" w:rsidR="00792FAF" w:rsidRDefault="00792FAF" w:rsidP="00D82B04">
      <w:pPr>
        <w:ind w:firstLine="1418"/>
        <w:jc w:val="both"/>
        <w:rPr>
          <w:rFonts w:eastAsia="Calibri"/>
          <w:lang w:eastAsia="en-US"/>
        </w:rPr>
      </w:pPr>
    </w:p>
    <w:p w14:paraId="5E40FCA1" w14:textId="6131F66F" w:rsidR="00D82B04" w:rsidRPr="00D82B04" w:rsidRDefault="00D82B04" w:rsidP="00D82B04">
      <w:pPr>
        <w:ind w:firstLine="1418"/>
        <w:jc w:val="both"/>
        <w:rPr>
          <w:rFonts w:eastAsia="Calibri"/>
          <w:lang w:eastAsia="en-US"/>
        </w:rPr>
      </w:pPr>
      <w:r w:rsidRPr="00D82B04">
        <w:rPr>
          <w:rFonts w:eastAsia="Calibri"/>
          <w:lang w:eastAsia="en-US"/>
        </w:rPr>
        <w:t>Não há, no entanto, no texto da Lei</w:t>
      </w:r>
      <w:r w:rsidR="00A22887">
        <w:rPr>
          <w:rFonts w:eastAsia="Calibri"/>
          <w:lang w:eastAsia="en-US"/>
        </w:rPr>
        <w:t xml:space="preserve"> Complementar</w:t>
      </w:r>
      <w:r w:rsidRPr="00D82B04">
        <w:rPr>
          <w:rFonts w:eastAsia="Calibri"/>
          <w:lang w:eastAsia="en-US"/>
        </w:rPr>
        <w:t>, a descrição objetiva do que é compreendido como elemento essencial. A ausência de tais parâmetros é, historicamente, causa de dificuldades e divergências interpretativas, seja pelo ente fiscalizado (empreendimentos), seja pelos diferentes agentes de fiscalização municipal, responsáveis pela aplicação prática da Lei</w:t>
      </w:r>
      <w:r w:rsidR="00417D63">
        <w:rPr>
          <w:rFonts w:eastAsia="Calibri"/>
          <w:lang w:eastAsia="en-US"/>
        </w:rPr>
        <w:t xml:space="preserve"> Complementar</w:t>
      </w:r>
      <w:r w:rsidRPr="00D82B04">
        <w:rPr>
          <w:rFonts w:eastAsia="Calibri"/>
          <w:lang w:eastAsia="en-US"/>
        </w:rPr>
        <w:t>. </w:t>
      </w:r>
    </w:p>
    <w:p w14:paraId="698302E2" w14:textId="77777777" w:rsidR="002B5BAA" w:rsidRDefault="002B5BAA" w:rsidP="00D82B04">
      <w:pPr>
        <w:ind w:firstLine="1418"/>
        <w:jc w:val="both"/>
        <w:rPr>
          <w:rFonts w:eastAsia="Calibri"/>
          <w:lang w:eastAsia="en-US"/>
        </w:rPr>
      </w:pPr>
    </w:p>
    <w:p w14:paraId="7E28862D" w14:textId="5C31D0D0" w:rsidR="00D82B04" w:rsidRPr="00D82B04" w:rsidRDefault="00D82B04" w:rsidP="00D82B04">
      <w:pPr>
        <w:ind w:firstLine="1418"/>
        <w:jc w:val="both"/>
        <w:rPr>
          <w:rFonts w:eastAsia="Calibri"/>
          <w:lang w:eastAsia="en-US"/>
        </w:rPr>
      </w:pPr>
      <w:r w:rsidRPr="00D82B04">
        <w:rPr>
          <w:rFonts w:eastAsia="Calibri"/>
          <w:lang w:eastAsia="en-US"/>
        </w:rPr>
        <w:t xml:space="preserve">A despeito de eventuais infrações cometidas, é do interesse dos bons empreendedores o cumprimento </w:t>
      </w:r>
      <w:r w:rsidR="00C74352">
        <w:rPr>
          <w:rFonts w:eastAsia="Calibri"/>
          <w:lang w:eastAsia="en-US"/>
        </w:rPr>
        <w:t>das</w:t>
      </w:r>
      <w:r w:rsidR="00C74352" w:rsidRPr="00D82B04">
        <w:rPr>
          <w:rFonts w:eastAsia="Calibri"/>
          <w:lang w:eastAsia="en-US"/>
        </w:rPr>
        <w:t xml:space="preserve"> </w:t>
      </w:r>
      <w:r w:rsidRPr="00D82B04">
        <w:rPr>
          <w:rFonts w:eastAsia="Calibri"/>
          <w:lang w:eastAsia="en-US"/>
        </w:rPr>
        <w:t xml:space="preserve">normas vigentes, uma vez que multas e encargos decorrentes de infrações podem representar o fim de qualquer empresa </w:t>
      </w:r>
      <w:r w:rsidR="00A97002">
        <w:rPr>
          <w:rFonts w:eastAsia="Calibri"/>
          <w:lang w:eastAsia="en-US"/>
        </w:rPr>
        <w:t xml:space="preserve">em </w:t>
      </w:r>
      <w:r w:rsidRPr="00D82B04">
        <w:rPr>
          <w:rFonts w:eastAsia="Calibri"/>
          <w:lang w:eastAsia="en-US"/>
        </w:rPr>
        <w:t xml:space="preserve">um país sabidamente hostil ao empreendedorismo. A recente legislação que trata da </w:t>
      </w:r>
      <w:r w:rsidR="00C74352">
        <w:rPr>
          <w:rFonts w:eastAsia="Calibri"/>
          <w:lang w:eastAsia="en-US"/>
        </w:rPr>
        <w:t>l</w:t>
      </w:r>
      <w:r w:rsidRPr="00D82B04">
        <w:rPr>
          <w:rFonts w:eastAsia="Calibri"/>
          <w:lang w:eastAsia="en-US"/>
        </w:rPr>
        <w:t xml:space="preserve">iberdade </w:t>
      </w:r>
      <w:r w:rsidR="00C74352">
        <w:rPr>
          <w:rFonts w:eastAsia="Calibri"/>
          <w:lang w:eastAsia="en-US"/>
        </w:rPr>
        <w:t>e</w:t>
      </w:r>
      <w:r w:rsidRPr="00D82B04">
        <w:rPr>
          <w:rFonts w:eastAsia="Calibri"/>
          <w:lang w:eastAsia="en-US"/>
        </w:rPr>
        <w:t xml:space="preserve">conômica, </w:t>
      </w:r>
      <w:r w:rsidR="00C74352">
        <w:rPr>
          <w:rFonts w:eastAsia="Calibri"/>
          <w:lang w:eastAsia="en-US"/>
        </w:rPr>
        <w:t xml:space="preserve">a </w:t>
      </w:r>
      <w:r w:rsidRPr="00D82B04">
        <w:rPr>
          <w:rFonts w:eastAsia="Calibri"/>
          <w:lang w:eastAsia="en-US"/>
        </w:rPr>
        <w:t xml:space="preserve">Lei </w:t>
      </w:r>
      <w:r w:rsidR="00417D63">
        <w:rPr>
          <w:rFonts w:eastAsia="Calibri"/>
          <w:lang w:eastAsia="en-US"/>
        </w:rPr>
        <w:t xml:space="preserve">Federal </w:t>
      </w:r>
      <w:r w:rsidR="00C74352">
        <w:rPr>
          <w:rFonts w:eastAsia="Calibri"/>
          <w:lang w:eastAsia="en-US"/>
        </w:rPr>
        <w:t xml:space="preserve">nº </w:t>
      </w:r>
      <w:r w:rsidRPr="00D82B04">
        <w:rPr>
          <w:rFonts w:eastAsia="Calibri"/>
          <w:lang w:eastAsia="en-US"/>
        </w:rPr>
        <w:t>13.874</w:t>
      </w:r>
      <w:r w:rsidR="00C74352">
        <w:rPr>
          <w:rFonts w:eastAsia="Calibri"/>
          <w:lang w:eastAsia="en-US"/>
        </w:rPr>
        <w:t>,</w:t>
      </w:r>
      <w:r w:rsidRPr="00D82B04">
        <w:rPr>
          <w:rFonts w:eastAsia="Calibri"/>
          <w:lang w:eastAsia="en-US"/>
        </w:rPr>
        <w:t xml:space="preserve"> de 19 de setembro de 2019</w:t>
      </w:r>
      <w:r w:rsidR="00C74352">
        <w:rPr>
          <w:rFonts w:eastAsia="Calibri"/>
          <w:lang w:eastAsia="en-US"/>
        </w:rPr>
        <w:t>,</w:t>
      </w:r>
      <w:r w:rsidRPr="00D82B04">
        <w:rPr>
          <w:rFonts w:eastAsia="Calibri"/>
          <w:lang w:eastAsia="en-US"/>
        </w:rPr>
        <w:t xml:space="preserve"> versa claramente, em seus </w:t>
      </w:r>
      <w:proofErr w:type="spellStart"/>
      <w:r w:rsidR="00C74352">
        <w:rPr>
          <w:rFonts w:eastAsia="Calibri"/>
          <w:lang w:eastAsia="en-US"/>
        </w:rPr>
        <w:t>arts</w:t>
      </w:r>
      <w:proofErr w:type="spellEnd"/>
      <w:r w:rsidR="00C74352">
        <w:rPr>
          <w:rFonts w:eastAsia="Calibri"/>
          <w:lang w:eastAsia="en-US"/>
        </w:rPr>
        <w:t xml:space="preserve">. </w:t>
      </w:r>
      <w:r w:rsidRPr="00D82B04">
        <w:rPr>
          <w:rFonts w:eastAsia="Calibri"/>
          <w:lang w:eastAsia="en-US"/>
        </w:rPr>
        <w:t>1º, 2º e 3º</w:t>
      </w:r>
      <w:r w:rsidR="00C74352">
        <w:rPr>
          <w:rFonts w:eastAsia="Calibri"/>
          <w:lang w:eastAsia="en-US"/>
        </w:rPr>
        <w:t>,</w:t>
      </w:r>
      <w:r w:rsidRPr="00D82B04">
        <w:rPr>
          <w:rFonts w:eastAsia="Calibri"/>
          <w:lang w:eastAsia="en-US"/>
        </w:rPr>
        <w:t xml:space="preserve"> sobre o princípio e o direito do empreendedor à presunção de boa</w:t>
      </w:r>
      <w:r w:rsidR="002B5BAA">
        <w:rPr>
          <w:rFonts w:eastAsia="Calibri"/>
          <w:lang w:eastAsia="en-US"/>
        </w:rPr>
        <w:t>-</w:t>
      </w:r>
      <w:r w:rsidRPr="00D82B04">
        <w:rPr>
          <w:rFonts w:eastAsia="Calibri"/>
          <w:lang w:eastAsia="en-US"/>
        </w:rPr>
        <w:t>fé nas relações entre particular e poder público. </w:t>
      </w:r>
    </w:p>
    <w:p w14:paraId="7D5E6608" w14:textId="77777777" w:rsidR="002B5BAA" w:rsidRDefault="002B5BAA" w:rsidP="00D82B04">
      <w:pPr>
        <w:ind w:firstLine="1418"/>
        <w:jc w:val="both"/>
        <w:rPr>
          <w:rFonts w:eastAsia="Calibri"/>
          <w:lang w:eastAsia="en-US"/>
        </w:rPr>
      </w:pPr>
    </w:p>
    <w:p w14:paraId="73B05671" w14:textId="547920AB" w:rsidR="00D82B04" w:rsidRPr="00D82B04" w:rsidRDefault="00D82B04" w:rsidP="00D82B04">
      <w:pPr>
        <w:ind w:firstLine="1418"/>
        <w:jc w:val="both"/>
        <w:rPr>
          <w:rFonts w:eastAsia="Calibri"/>
          <w:lang w:eastAsia="en-US"/>
        </w:rPr>
      </w:pPr>
      <w:r w:rsidRPr="00D82B04">
        <w:rPr>
          <w:rFonts w:eastAsia="Calibri"/>
          <w:lang w:eastAsia="en-US"/>
        </w:rPr>
        <w:t>A atividade de fiscalização, privativa do Estado, é, por si só, altamente passível de problemas decorrentes da subjetividade na interpretação das leis. Toda função desenvolvida por diferentes agentes, públicos ou privados, encontra</w:t>
      </w:r>
      <w:r w:rsidR="00EC58AD">
        <w:rPr>
          <w:rFonts w:eastAsia="Calibri"/>
          <w:lang w:eastAsia="en-US"/>
        </w:rPr>
        <w:t>-se</w:t>
      </w:r>
      <w:r w:rsidRPr="00D82B04">
        <w:rPr>
          <w:rFonts w:eastAsia="Calibri"/>
          <w:lang w:eastAsia="en-US"/>
        </w:rPr>
        <w:t xml:space="preserve"> em constante risco de se converter em instrumento de indivíduos dispostos à aplicação inadequada ou corrompida da </w:t>
      </w:r>
      <w:r w:rsidR="00EC58AD">
        <w:rPr>
          <w:rFonts w:eastAsia="Calibri"/>
          <w:lang w:eastAsia="en-US"/>
        </w:rPr>
        <w:t>l</w:t>
      </w:r>
      <w:r w:rsidRPr="00D82B04">
        <w:rPr>
          <w:rFonts w:eastAsia="Calibri"/>
          <w:lang w:eastAsia="en-US"/>
        </w:rPr>
        <w:t xml:space="preserve">egislação. É necessário reconhecer o trabalho e </w:t>
      </w:r>
      <w:r w:rsidR="00417D63">
        <w:rPr>
          <w:rFonts w:eastAsia="Calibri"/>
          <w:lang w:eastAsia="en-US"/>
        </w:rPr>
        <w:t xml:space="preserve">a </w:t>
      </w:r>
      <w:r w:rsidRPr="00D82B04">
        <w:rPr>
          <w:rFonts w:eastAsia="Calibri"/>
          <w:lang w:eastAsia="en-US"/>
        </w:rPr>
        <w:t>dedicação dos bons agentes públicos, cujo empenho se dá, antes de tudo, na busca pelo bom andamento e pela boa relação entre o ente público e o privado. É evidente também que</w:t>
      </w:r>
      <w:r w:rsidR="00A97002">
        <w:rPr>
          <w:rFonts w:eastAsia="Calibri"/>
          <w:lang w:eastAsia="en-US"/>
        </w:rPr>
        <w:t>,</w:t>
      </w:r>
      <w:r w:rsidRPr="00D82B04">
        <w:rPr>
          <w:rFonts w:eastAsia="Calibri"/>
          <w:lang w:eastAsia="en-US"/>
        </w:rPr>
        <w:t xml:space="preserve"> nas esferas públicas</w:t>
      </w:r>
      <w:r w:rsidR="00A97002">
        <w:rPr>
          <w:rFonts w:eastAsia="Calibri"/>
          <w:lang w:eastAsia="en-US"/>
        </w:rPr>
        <w:t>,</w:t>
      </w:r>
      <w:r w:rsidRPr="00D82B04">
        <w:rPr>
          <w:rFonts w:eastAsia="Calibri"/>
          <w:lang w:eastAsia="en-US"/>
        </w:rPr>
        <w:t xml:space="preserve"> encontram-se agentes sem o mesmo zelo para com aqueles que têm seu sustento baseado na dedicação à iniciativa privada. Tais agentes v</w:t>
      </w:r>
      <w:r w:rsidR="00DA0779">
        <w:rPr>
          <w:rFonts w:eastAsia="Calibri"/>
          <w:lang w:eastAsia="en-US"/>
        </w:rPr>
        <w:t>e</w:t>
      </w:r>
      <w:r w:rsidRPr="00D82B04">
        <w:rPr>
          <w:rFonts w:eastAsia="Calibri"/>
          <w:lang w:eastAsia="en-US"/>
        </w:rPr>
        <w:t xml:space="preserve">em a relação entre iniciativa pública e privada como rivalidade, algo de impossível conciliação de interesses. Frente a tais agentes, pouco tem o empreendedor a fazer, pois cabe aos primeiros a observação </w:t>
      </w:r>
      <w:r w:rsidRPr="00C900A7">
        <w:rPr>
          <w:rFonts w:eastAsia="Calibri"/>
          <w:i/>
          <w:iCs/>
          <w:lang w:eastAsia="en-US"/>
        </w:rPr>
        <w:t>in loco</w:t>
      </w:r>
      <w:r w:rsidRPr="00D82B04">
        <w:rPr>
          <w:rFonts w:eastAsia="Calibri"/>
          <w:lang w:eastAsia="en-US"/>
        </w:rPr>
        <w:t xml:space="preserve"> dos estabelecimentos e a interpretação da legislação vigente frente às condições apresentadas pelo local. Sendo assim, é imprescindível que os marcos regulatórios sejam desenhados, primeiramente, visando à isonomia e </w:t>
      </w:r>
      <w:r w:rsidR="00417D63">
        <w:rPr>
          <w:rFonts w:eastAsia="Calibri"/>
          <w:lang w:eastAsia="en-US"/>
        </w:rPr>
        <w:t xml:space="preserve">à </w:t>
      </w:r>
      <w:r w:rsidRPr="00D82B04">
        <w:rPr>
          <w:rFonts w:eastAsia="Calibri"/>
          <w:lang w:eastAsia="en-US"/>
        </w:rPr>
        <w:t xml:space="preserve">aplicabilidade no dia a dia, bem como </w:t>
      </w:r>
      <w:r w:rsidR="00417D63">
        <w:rPr>
          <w:rFonts w:eastAsia="Calibri"/>
          <w:lang w:eastAsia="en-US"/>
        </w:rPr>
        <w:t xml:space="preserve">a </w:t>
      </w:r>
      <w:r w:rsidRPr="00D82B04">
        <w:rPr>
          <w:rFonts w:eastAsia="Calibri"/>
          <w:lang w:eastAsia="en-US"/>
        </w:rPr>
        <w:t xml:space="preserve">um fácil entendimento </w:t>
      </w:r>
      <w:r w:rsidR="00417D63">
        <w:rPr>
          <w:rFonts w:eastAsia="Calibri"/>
          <w:lang w:eastAsia="en-US"/>
        </w:rPr>
        <w:t xml:space="preserve">para </w:t>
      </w:r>
      <w:r w:rsidRPr="00D82B04">
        <w:rPr>
          <w:rFonts w:eastAsia="Calibri"/>
          <w:lang w:eastAsia="en-US"/>
        </w:rPr>
        <w:t>a</w:t>
      </w:r>
      <w:r w:rsidR="00417D63">
        <w:rPr>
          <w:rFonts w:eastAsia="Calibri"/>
          <w:lang w:eastAsia="en-US"/>
        </w:rPr>
        <w:t>s</w:t>
      </w:r>
      <w:r w:rsidRPr="00D82B04">
        <w:rPr>
          <w:rFonts w:eastAsia="Calibri"/>
          <w:lang w:eastAsia="en-US"/>
        </w:rPr>
        <w:t xml:space="preserve"> pessoas de diferentes graus de instrução. </w:t>
      </w:r>
    </w:p>
    <w:p w14:paraId="451BCB10" w14:textId="77777777" w:rsidR="002B5BAA" w:rsidRDefault="002B5BAA" w:rsidP="00D82B04">
      <w:pPr>
        <w:ind w:firstLine="1418"/>
        <w:jc w:val="both"/>
        <w:rPr>
          <w:rFonts w:eastAsia="Calibri"/>
          <w:lang w:eastAsia="en-US"/>
        </w:rPr>
      </w:pPr>
    </w:p>
    <w:p w14:paraId="4EF1350C" w14:textId="4CEA4EE7" w:rsidR="00D82B04" w:rsidRPr="00D82B04" w:rsidRDefault="00D82B04" w:rsidP="00D82B04">
      <w:pPr>
        <w:ind w:firstLine="1418"/>
        <w:jc w:val="both"/>
        <w:rPr>
          <w:rFonts w:eastAsia="Calibri"/>
          <w:lang w:eastAsia="en-US"/>
        </w:rPr>
      </w:pPr>
      <w:r w:rsidRPr="00D82B04">
        <w:rPr>
          <w:rFonts w:eastAsia="Calibri"/>
          <w:lang w:eastAsia="en-US"/>
        </w:rPr>
        <w:t>A legislação atual tem buscado trazer junto ao corpo do texto a definição de cada item, a fim de evidenciar, da melhor forma possível, seu significado, evitando erros e dificuldades interpretativas. Além disso, o</w:t>
      </w:r>
      <w:r w:rsidR="00E64B90">
        <w:rPr>
          <w:rFonts w:eastAsia="Calibri"/>
          <w:lang w:eastAsia="en-US"/>
        </w:rPr>
        <w:t>s</w:t>
      </w:r>
      <w:r w:rsidRPr="00D82B04">
        <w:rPr>
          <w:rFonts w:eastAsia="Calibri"/>
          <w:lang w:eastAsia="en-US"/>
        </w:rPr>
        <w:t xml:space="preserve"> </w:t>
      </w:r>
      <w:r w:rsidR="00E64B90">
        <w:rPr>
          <w:rFonts w:eastAsia="Calibri"/>
          <w:lang w:eastAsia="en-US"/>
        </w:rPr>
        <w:t>princípios da proibição do</w:t>
      </w:r>
      <w:r w:rsidRPr="00D82B04">
        <w:rPr>
          <w:rFonts w:eastAsia="Calibri"/>
          <w:lang w:eastAsia="en-US"/>
        </w:rPr>
        <w:t xml:space="preserve"> </w:t>
      </w:r>
      <w:r w:rsidR="00E64B90">
        <w:rPr>
          <w:rFonts w:eastAsia="Calibri"/>
          <w:lang w:eastAsia="en-US"/>
        </w:rPr>
        <w:t>e</w:t>
      </w:r>
      <w:r w:rsidRPr="00D82B04">
        <w:rPr>
          <w:rFonts w:eastAsia="Calibri"/>
          <w:lang w:eastAsia="en-US"/>
        </w:rPr>
        <w:t>xcesso e da razoabilidade representam importantes instrumentos a serem observados para balizar a ação fiscalizatória e o poder de polícia do Estado, principalmente quando se trata de pequenos estabelecimentos comerciais. </w:t>
      </w:r>
    </w:p>
    <w:p w14:paraId="6D5F797F" w14:textId="77777777" w:rsidR="002B5BAA" w:rsidRDefault="002B5BAA" w:rsidP="00D82B04">
      <w:pPr>
        <w:ind w:firstLine="1418"/>
        <w:jc w:val="both"/>
        <w:rPr>
          <w:rFonts w:eastAsia="Calibri"/>
          <w:lang w:eastAsia="en-US"/>
        </w:rPr>
      </w:pPr>
    </w:p>
    <w:p w14:paraId="168CDAEA" w14:textId="18B09C60" w:rsidR="00D82B04" w:rsidRPr="00D82B04" w:rsidRDefault="00D82B04" w:rsidP="00D82B04">
      <w:pPr>
        <w:ind w:firstLine="1418"/>
        <w:jc w:val="both"/>
        <w:rPr>
          <w:rFonts w:eastAsia="Calibri"/>
          <w:lang w:eastAsia="en-US"/>
        </w:rPr>
      </w:pPr>
      <w:r w:rsidRPr="00D82B04">
        <w:rPr>
          <w:rFonts w:eastAsia="Calibri"/>
          <w:lang w:eastAsia="en-US"/>
        </w:rPr>
        <w:lastRenderedPageBreak/>
        <w:t>No conjunto normativo do Município de Porto Alegre</w:t>
      </w:r>
      <w:r w:rsidR="00901B68">
        <w:rPr>
          <w:rFonts w:eastAsia="Calibri"/>
          <w:lang w:eastAsia="en-US"/>
        </w:rPr>
        <w:t>,</w:t>
      </w:r>
      <w:r w:rsidRPr="00D82B04">
        <w:rPr>
          <w:rFonts w:eastAsia="Calibri"/>
          <w:lang w:eastAsia="en-US"/>
        </w:rPr>
        <w:t xml:space="preserve"> </w:t>
      </w:r>
      <w:r w:rsidR="00491BA0">
        <w:rPr>
          <w:rFonts w:eastAsia="Calibri"/>
          <w:lang w:eastAsia="en-US"/>
        </w:rPr>
        <w:t>já foi</w:t>
      </w:r>
      <w:r w:rsidR="00491BA0" w:rsidRPr="00D82B04">
        <w:rPr>
          <w:rFonts w:eastAsia="Calibri"/>
          <w:lang w:eastAsia="en-US"/>
        </w:rPr>
        <w:t xml:space="preserve"> </w:t>
      </w:r>
      <w:r w:rsidRPr="00D82B04">
        <w:rPr>
          <w:rFonts w:eastAsia="Calibri"/>
          <w:lang w:eastAsia="en-US"/>
        </w:rPr>
        <w:t>prevista na Lei nº 3</w:t>
      </w:r>
      <w:r w:rsidR="00901B68">
        <w:rPr>
          <w:rFonts w:eastAsia="Calibri"/>
          <w:lang w:eastAsia="en-US"/>
        </w:rPr>
        <w:t>.</w:t>
      </w:r>
      <w:r w:rsidRPr="00D82B04">
        <w:rPr>
          <w:rFonts w:eastAsia="Calibri"/>
          <w:lang w:eastAsia="en-US"/>
        </w:rPr>
        <w:t>187, de 24 de outubro de 1968</w:t>
      </w:r>
      <w:r w:rsidR="00901B68">
        <w:rPr>
          <w:rFonts w:eastAsia="Calibri"/>
          <w:lang w:eastAsia="en-US"/>
        </w:rPr>
        <w:t>,</w:t>
      </w:r>
      <w:r w:rsidR="00A7360E">
        <w:rPr>
          <w:rFonts w:eastAsia="Calibri"/>
          <w:lang w:eastAsia="en-US"/>
        </w:rPr>
        <w:t xml:space="preserve"> já revogada</w:t>
      </w:r>
      <w:r w:rsidR="00365B53">
        <w:rPr>
          <w:rFonts w:eastAsia="Calibri"/>
          <w:lang w:eastAsia="en-US"/>
        </w:rPr>
        <w:t xml:space="preserve"> pela Lei nº 10.605, 29 de dezembro de 2008</w:t>
      </w:r>
      <w:r w:rsidR="00A7360E">
        <w:rPr>
          <w:rFonts w:eastAsia="Calibri"/>
          <w:lang w:eastAsia="en-US"/>
        </w:rPr>
        <w:t xml:space="preserve">, </w:t>
      </w:r>
      <w:r w:rsidRPr="00D82B04">
        <w:rPr>
          <w:rFonts w:eastAsia="Calibri"/>
          <w:lang w:eastAsia="en-US"/>
        </w:rPr>
        <w:t>uma definição objetiva do que se compreende como “elementos essenciais”, conforme segue: </w:t>
      </w:r>
    </w:p>
    <w:p w14:paraId="028A77C2" w14:textId="77777777" w:rsidR="00855BB3" w:rsidRDefault="00855BB3" w:rsidP="00D82B04">
      <w:pPr>
        <w:ind w:firstLine="1418"/>
        <w:jc w:val="both"/>
        <w:rPr>
          <w:rFonts w:eastAsia="Calibri"/>
          <w:lang w:eastAsia="en-US"/>
        </w:rPr>
      </w:pPr>
    </w:p>
    <w:p w14:paraId="34B6F669" w14:textId="46A6A811"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Art. 3º - A licença, concedida a título precário, é pessoal e intransferível, devendo ser requerida ao Prefeito, em formulário próprio, e servindo exclusivamente para o fim declarado.</w:t>
      </w:r>
    </w:p>
    <w:p w14:paraId="6A17E4D9"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 1º - No Alvará de Licença devem constar os seguintes elementos essenciais:</w:t>
      </w:r>
    </w:p>
    <w:p w14:paraId="31B33658"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I – número de inscrição;</w:t>
      </w:r>
    </w:p>
    <w:p w14:paraId="43389BD2"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II – nome do vendedor ambulante, e, se houver, da firma, com a razão e denominação social sob cuja responsabilidade é exercida a atividade licenciada;</w:t>
      </w:r>
    </w:p>
    <w:p w14:paraId="6DBE9690"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III – endereço do licenciado;</w:t>
      </w:r>
    </w:p>
    <w:p w14:paraId="43A2F2E5"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IV – ramo de atividade;</w:t>
      </w:r>
    </w:p>
    <w:p w14:paraId="5D4D1A46"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V – fotografias do licenciado;</w:t>
      </w:r>
    </w:p>
    <w:p w14:paraId="71F5DC86" w14:textId="77777777" w:rsidR="00D82B04" w:rsidRPr="00C900A7" w:rsidRDefault="00D82B04" w:rsidP="00C900A7">
      <w:pPr>
        <w:ind w:left="2268"/>
        <w:jc w:val="both"/>
        <w:rPr>
          <w:rFonts w:eastAsia="Calibri"/>
          <w:sz w:val="20"/>
          <w:szCs w:val="20"/>
          <w:lang w:eastAsia="en-US"/>
        </w:rPr>
      </w:pPr>
      <w:r w:rsidRPr="00C900A7">
        <w:rPr>
          <w:rFonts w:eastAsia="Calibri"/>
          <w:sz w:val="20"/>
          <w:szCs w:val="20"/>
          <w:lang w:eastAsia="en-US"/>
        </w:rPr>
        <w:t>VI – número e data do expediente que deu origem ao licenciamento.</w:t>
      </w:r>
    </w:p>
    <w:p w14:paraId="307BA7CE" w14:textId="77777777" w:rsidR="00855BB3" w:rsidRDefault="00855BB3" w:rsidP="00D82B04">
      <w:pPr>
        <w:ind w:firstLine="1418"/>
        <w:jc w:val="both"/>
        <w:rPr>
          <w:rFonts w:eastAsia="Calibri"/>
          <w:lang w:eastAsia="en-US"/>
        </w:rPr>
      </w:pPr>
    </w:p>
    <w:p w14:paraId="0019EC81" w14:textId="4D483E38" w:rsidR="00D82B04" w:rsidRPr="00D82B04" w:rsidRDefault="00D82B04" w:rsidP="00D82B04">
      <w:pPr>
        <w:ind w:firstLine="1418"/>
        <w:jc w:val="both"/>
        <w:rPr>
          <w:rFonts w:eastAsia="Calibri"/>
          <w:lang w:eastAsia="en-US"/>
        </w:rPr>
      </w:pPr>
      <w:r w:rsidRPr="00D82B04">
        <w:rPr>
          <w:rFonts w:eastAsia="Calibri"/>
          <w:lang w:eastAsia="en-US"/>
        </w:rPr>
        <w:t xml:space="preserve">No exemplo supracitado, dentre os elementos listados </w:t>
      </w:r>
      <w:r w:rsidR="00211C83">
        <w:rPr>
          <w:rFonts w:eastAsia="Calibri"/>
          <w:lang w:eastAsia="en-US"/>
        </w:rPr>
        <w:t xml:space="preserve">nos </w:t>
      </w:r>
      <w:proofErr w:type="spellStart"/>
      <w:r w:rsidR="00211C83">
        <w:rPr>
          <w:rFonts w:eastAsia="Calibri"/>
          <w:lang w:eastAsia="en-US"/>
        </w:rPr>
        <w:t>incs</w:t>
      </w:r>
      <w:proofErr w:type="spellEnd"/>
      <w:r w:rsidR="00211C83">
        <w:rPr>
          <w:rFonts w:eastAsia="Calibri"/>
          <w:lang w:eastAsia="en-US"/>
        </w:rPr>
        <w:t>.</w:t>
      </w:r>
      <w:r w:rsidRPr="00D82B04">
        <w:rPr>
          <w:rFonts w:eastAsia="Calibri"/>
          <w:lang w:eastAsia="en-US"/>
        </w:rPr>
        <w:t xml:space="preserve"> I a VI, a ausência de quaisquer des</w:t>
      </w:r>
      <w:r w:rsidR="003A10E0">
        <w:rPr>
          <w:rFonts w:eastAsia="Calibri"/>
          <w:lang w:eastAsia="en-US"/>
        </w:rPr>
        <w:t>s</w:t>
      </w:r>
      <w:r w:rsidRPr="00D82B04">
        <w:rPr>
          <w:rFonts w:eastAsia="Calibri"/>
          <w:lang w:eastAsia="en-US"/>
        </w:rPr>
        <w:t xml:space="preserve">es poderia acarretar na descaracterização do documento a ponto de impossibilitar o ato da fiscalização. À exceção do </w:t>
      </w:r>
      <w:r w:rsidR="00211C83">
        <w:rPr>
          <w:rFonts w:eastAsia="Calibri"/>
          <w:lang w:eastAsia="en-US"/>
        </w:rPr>
        <w:t>previsto no inc.</w:t>
      </w:r>
      <w:r w:rsidRPr="00D82B04">
        <w:rPr>
          <w:rFonts w:eastAsia="Calibri"/>
          <w:lang w:eastAsia="en-US"/>
        </w:rPr>
        <w:t xml:space="preserve"> V, pode-se afirmar que os itens elencados são aplicáveis a um grande número de estabelecimentos do </w:t>
      </w:r>
      <w:r w:rsidR="00211C83">
        <w:rPr>
          <w:rFonts w:eastAsia="Calibri"/>
          <w:lang w:eastAsia="en-US"/>
        </w:rPr>
        <w:t>M</w:t>
      </w:r>
      <w:r w:rsidRPr="00D82B04">
        <w:rPr>
          <w:rFonts w:eastAsia="Calibri"/>
          <w:lang w:eastAsia="en-US"/>
        </w:rPr>
        <w:t>unicípio, podendo ser um bom modelo prático da determinação objetiva de itens determinados pela legislação. Uma prática simples, porém vital</w:t>
      </w:r>
      <w:r w:rsidR="00365B53">
        <w:rPr>
          <w:rFonts w:eastAsia="Calibri"/>
          <w:lang w:eastAsia="en-US"/>
        </w:rPr>
        <w:t>,</w:t>
      </w:r>
      <w:r w:rsidRPr="00D82B04">
        <w:rPr>
          <w:rFonts w:eastAsia="Calibri"/>
          <w:lang w:eastAsia="en-US"/>
        </w:rPr>
        <w:t xml:space="preserve"> no fomento ao empreendedorismo. </w:t>
      </w:r>
    </w:p>
    <w:p w14:paraId="579CE25B" w14:textId="77777777" w:rsidR="002B5BAA" w:rsidRDefault="002B5BAA" w:rsidP="00D82B04">
      <w:pPr>
        <w:ind w:firstLine="1418"/>
        <w:jc w:val="both"/>
        <w:rPr>
          <w:rFonts w:eastAsia="Calibri"/>
          <w:lang w:eastAsia="en-US"/>
        </w:rPr>
      </w:pPr>
    </w:p>
    <w:p w14:paraId="5556886B" w14:textId="3013BEDD" w:rsidR="00772E13" w:rsidRDefault="00D82B04">
      <w:pPr>
        <w:ind w:firstLine="1418"/>
        <w:jc w:val="both"/>
        <w:rPr>
          <w:rFonts w:eastAsia="Calibri"/>
          <w:lang w:eastAsia="en-US"/>
        </w:rPr>
      </w:pPr>
      <w:r w:rsidRPr="00D82B04">
        <w:rPr>
          <w:rFonts w:eastAsia="Calibri"/>
          <w:lang w:eastAsia="en-US"/>
        </w:rPr>
        <w:t xml:space="preserve">Sendo assim, com vistas a facilitar a interpretação e dar mais objetividade ao </w:t>
      </w:r>
      <w:r w:rsidR="00772E13">
        <w:rPr>
          <w:rFonts w:eastAsia="Calibri"/>
          <w:lang w:eastAsia="en-US"/>
        </w:rPr>
        <w:t>a</w:t>
      </w:r>
      <w:r w:rsidRPr="00D82B04">
        <w:rPr>
          <w:rFonts w:eastAsia="Calibri"/>
          <w:lang w:eastAsia="en-US"/>
        </w:rPr>
        <w:t>rt</w:t>
      </w:r>
      <w:r w:rsidR="00772E13">
        <w:rPr>
          <w:rFonts w:eastAsia="Calibri"/>
          <w:lang w:eastAsia="en-US"/>
        </w:rPr>
        <w:t xml:space="preserve">. </w:t>
      </w:r>
      <w:r w:rsidRPr="00D82B04">
        <w:rPr>
          <w:rFonts w:eastAsia="Calibri"/>
          <w:lang w:eastAsia="en-US"/>
        </w:rPr>
        <w:t>30 da Lei Complementar nº 12</w:t>
      </w:r>
      <w:r w:rsidR="00772E13">
        <w:rPr>
          <w:rFonts w:eastAsia="Calibri"/>
          <w:lang w:eastAsia="en-US"/>
        </w:rPr>
        <w:t>,</w:t>
      </w:r>
      <w:r w:rsidRPr="00D82B04">
        <w:rPr>
          <w:rFonts w:eastAsia="Calibri"/>
          <w:lang w:eastAsia="en-US"/>
        </w:rPr>
        <w:t xml:space="preserve"> </w:t>
      </w:r>
      <w:r w:rsidR="00772E13">
        <w:rPr>
          <w:rFonts w:eastAsia="Calibri"/>
          <w:lang w:eastAsia="en-US"/>
        </w:rPr>
        <w:t>d</w:t>
      </w:r>
      <w:r w:rsidRPr="00D82B04">
        <w:rPr>
          <w:rFonts w:eastAsia="Calibri"/>
          <w:lang w:eastAsia="en-US"/>
        </w:rPr>
        <w:t>e 1975,</w:t>
      </w:r>
      <w:r w:rsidR="00772E13">
        <w:rPr>
          <w:rFonts w:eastAsia="Calibri"/>
          <w:lang w:eastAsia="en-US"/>
        </w:rPr>
        <w:t xml:space="preserve"> e alterações posteriores,</w:t>
      </w:r>
      <w:r w:rsidRPr="00D82B04">
        <w:rPr>
          <w:rFonts w:eastAsia="Calibri"/>
          <w:lang w:eastAsia="en-US"/>
        </w:rPr>
        <w:t xml:space="preserve"> </w:t>
      </w:r>
      <w:r w:rsidR="00772E13">
        <w:rPr>
          <w:rFonts w:eastAsia="Calibri"/>
          <w:lang w:eastAsia="en-US"/>
        </w:rPr>
        <w:t>é que se apresenta este Projeto de Lei Complementar.</w:t>
      </w:r>
    </w:p>
    <w:p w14:paraId="19BBD798" w14:textId="77777777" w:rsidR="00772E13" w:rsidRDefault="00772E13">
      <w:pPr>
        <w:ind w:firstLine="1418"/>
        <w:jc w:val="both"/>
        <w:rPr>
          <w:rFonts w:eastAsia="Calibri"/>
          <w:lang w:eastAsia="en-US"/>
        </w:rPr>
      </w:pPr>
    </w:p>
    <w:p w14:paraId="41E7CD59" w14:textId="73BC4BFB" w:rsidR="00836FD6" w:rsidRDefault="00C27B67">
      <w:pPr>
        <w:ind w:firstLine="1418"/>
        <w:jc w:val="both"/>
      </w:pPr>
      <w:r>
        <w:rPr>
          <w:rFonts w:eastAsia="Calibri"/>
          <w:lang w:eastAsia="en-US"/>
        </w:rPr>
        <w:t xml:space="preserve">Sala das Sessões, </w:t>
      </w:r>
      <w:r w:rsidR="00117E93">
        <w:rPr>
          <w:rFonts w:eastAsia="Calibri"/>
          <w:lang w:eastAsia="en-US"/>
        </w:rPr>
        <w:t>30</w:t>
      </w:r>
      <w:r>
        <w:rPr>
          <w:rFonts w:eastAsia="Calibri"/>
          <w:lang w:eastAsia="en-US"/>
        </w:rPr>
        <w:t xml:space="preserve"> de </w:t>
      </w:r>
      <w:r w:rsidR="00CB22EB">
        <w:rPr>
          <w:rFonts w:eastAsia="Calibri"/>
          <w:lang w:eastAsia="en-US"/>
        </w:rPr>
        <w:t>março</w:t>
      </w:r>
      <w:r w:rsidR="001267BD">
        <w:rPr>
          <w:rFonts w:eastAsia="Calibri"/>
          <w:lang w:eastAsia="en-US"/>
        </w:rPr>
        <w:t xml:space="preserve"> de 2021</w:t>
      </w:r>
      <w:r>
        <w:rPr>
          <w:rFonts w:eastAsia="Calibri"/>
          <w:lang w:eastAsia="en-US"/>
        </w:rPr>
        <w:t>.</w:t>
      </w:r>
    </w:p>
    <w:p w14:paraId="74BD9D08" w14:textId="77777777" w:rsidR="00836FD6" w:rsidRDefault="00836FD6">
      <w:pPr>
        <w:jc w:val="center"/>
        <w:rPr>
          <w:rFonts w:eastAsia="Calibri"/>
          <w:lang w:eastAsia="en-US"/>
        </w:rPr>
      </w:pPr>
    </w:p>
    <w:p w14:paraId="293E239C" w14:textId="77777777" w:rsidR="00836FD6" w:rsidRDefault="00836FD6">
      <w:pPr>
        <w:jc w:val="center"/>
        <w:rPr>
          <w:rFonts w:eastAsia="Calibri"/>
          <w:lang w:eastAsia="en-US"/>
        </w:rPr>
      </w:pPr>
    </w:p>
    <w:p w14:paraId="4FE8DA22" w14:textId="77777777" w:rsidR="00836FD6" w:rsidRDefault="00836FD6">
      <w:pPr>
        <w:jc w:val="center"/>
        <w:rPr>
          <w:rFonts w:eastAsia="Calibri"/>
          <w:lang w:eastAsia="en-US"/>
        </w:rPr>
      </w:pPr>
    </w:p>
    <w:p w14:paraId="3305289D" w14:textId="77777777" w:rsidR="00836FD6" w:rsidRDefault="00836FD6">
      <w:pPr>
        <w:jc w:val="center"/>
        <w:rPr>
          <w:rFonts w:eastAsia="Calibri"/>
          <w:lang w:eastAsia="en-US"/>
        </w:rPr>
      </w:pPr>
    </w:p>
    <w:p w14:paraId="67F3D5D7" w14:textId="77777777" w:rsidR="00836FD6" w:rsidRDefault="00836FD6">
      <w:pPr>
        <w:jc w:val="center"/>
        <w:rPr>
          <w:rFonts w:eastAsia="Calibri"/>
          <w:lang w:eastAsia="en-US"/>
        </w:rPr>
      </w:pPr>
    </w:p>
    <w:p w14:paraId="105F8BE6" w14:textId="19E80D65" w:rsidR="00836FD6" w:rsidRDefault="00C27B67">
      <w:pPr>
        <w:jc w:val="center"/>
      </w:pPr>
      <w:r>
        <w:rPr>
          <w:rFonts w:eastAsia="Calibri"/>
          <w:lang w:eastAsia="en-US"/>
        </w:rPr>
        <w:t xml:space="preserve">VEREADOR </w:t>
      </w:r>
      <w:r w:rsidR="00117E93">
        <w:rPr>
          <w:rFonts w:eastAsia="Calibri"/>
          <w:lang w:eastAsia="en-US"/>
        </w:rPr>
        <w:t>JESSÉ SANGALLI</w:t>
      </w:r>
      <w:r>
        <w:br w:type="page"/>
      </w:r>
    </w:p>
    <w:p w14:paraId="3C86B485" w14:textId="316E63BE" w:rsidR="00836FD6" w:rsidRDefault="00C27B67">
      <w:pPr>
        <w:jc w:val="center"/>
      </w:pPr>
      <w:r>
        <w:rPr>
          <w:b/>
          <w:bCs/>
        </w:rPr>
        <w:lastRenderedPageBreak/>
        <w:t>PROJETO DE LEI</w:t>
      </w:r>
      <w:r w:rsidR="00C86184">
        <w:rPr>
          <w:b/>
          <w:bCs/>
        </w:rPr>
        <w:t xml:space="preserve"> COMPLEMENTAR</w:t>
      </w:r>
    </w:p>
    <w:p w14:paraId="16C8347A" w14:textId="77777777" w:rsidR="00836FD6" w:rsidRDefault="00836FD6">
      <w:pPr>
        <w:pStyle w:val="Default"/>
        <w:jc w:val="center"/>
        <w:rPr>
          <w:bCs/>
        </w:rPr>
      </w:pPr>
    </w:p>
    <w:p w14:paraId="1991DDDA" w14:textId="77777777" w:rsidR="00836FD6" w:rsidRDefault="00836FD6">
      <w:pPr>
        <w:pStyle w:val="Default"/>
        <w:jc w:val="center"/>
        <w:rPr>
          <w:bCs/>
        </w:rPr>
      </w:pPr>
    </w:p>
    <w:p w14:paraId="7C41D54F" w14:textId="3831808E" w:rsidR="00836FD6" w:rsidRDefault="00580C8D" w:rsidP="00B87948">
      <w:pPr>
        <w:ind w:left="4253"/>
        <w:jc w:val="both"/>
        <w:rPr>
          <w:b/>
        </w:rPr>
      </w:pPr>
      <w:r w:rsidRPr="00580C8D">
        <w:rPr>
          <w:b/>
        </w:rPr>
        <w:t xml:space="preserve">Altera o </w:t>
      </w:r>
      <w:r w:rsidR="007A5065">
        <w:rPr>
          <w:b/>
          <w:i/>
          <w:iCs/>
        </w:rPr>
        <w:t xml:space="preserve">caput </w:t>
      </w:r>
      <w:r w:rsidR="00A92CE7" w:rsidRPr="00C900A7">
        <w:rPr>
          <w:b/>
        </w:rPr>
        <w:t>e o § 2º</w:t>
      </w:r>
      <w:r w:rsidR="00A92CE7">
        <w:rPr>
          <w:b/>
          <w:i/>
          <w:iCs/>
        </w:rPr>
        <w:t xml:space="preserve"> </w:t>
      </w:r>
      <w:r w:rsidR="007A5065">
        <w:rPr>
          <w:b/>
        </w:rPr>
        <w:t>e inclui §§ 3º e 4º</w:t>
      </w:r>
      <w:r w:rsidR="00A24A42">
        <w:rPr>
          <w:b/>
        </w:rPr>
        <w:t xml:space="preserve"> n</w:t>
      </w:r>
      <w:r w:rsidR="007A5065">
        <w:rPr>
          <w:b/>
        </w:rPr>
        <w:t xml:space="preserve">o </w:t>
      </w:r>
      <w:r w:rsidR="00B87948">
        <w:rPr>
          <w:b/>
        </w:rPr>
        <w:t>a</w:t>
      </w:r>
      <w:r w:rsidRPr="00580C8D">
        <w:rPr>
          <w:b/>
        </w:rPr>
        <w:t>rt</w:t>
      </w:r>
      <w:r w:rsidR="00B87948">
        <w:rPr>
          <w:b/>
        </w:rPr>
        <w:t>.</w:t>
      </w:r>
      <w:r w:rsidRPr="00580C8D">
        <w:rPr>
          <w:b/>
        </w:rPr>
        <w:t xml:space="preserve"> 30 da Lei Complementar nº 12</w:t>
      </w:r>
      <w:r w:rsidR="00B87948">
        <w:rPr>
          <w:b/>
        </w:rPr>
        <w:t>,</w:t>
      </w:r>
      <w:r w:rsidRPr="00580C8D">
        <w:rPr>
          <w:b/>
        </w:rPr>
        <w:t xml:space="preserve"> de 7 de janeiro de 1975</w:t>
      </w:r>
      <w:r w:rsidR="00B87948">
        <w:rPr>
          <w:b/>
        </w:rPr>
        <w:t xml:space="preserve"> – que </w:t>
      </w:r>
      <w:r w:rsidR="00B87948" w:rsidRPr="00B87948">
        <w:rPr>
          <w:b/>
        </w:rPr>
        <w:t xml:space="preserve">institui posturas para o </w:t>
      </w:r>
      <w:r w:rsidR="00B87948">
        <w:rPr>
          <w:b/>
        </w:rPr>
        <w:t>M</w:t>
      </w:r>
      <w:r w:rsidR="00B87948" w:rsidRPr="00B87948">
        <w:rPr>
          <w:b/>
        </w:rPr>
        <w:t xml:space="preserve">unicípio de </w:t>
      </w:r>
      <w:r w:rsidR="00B87948">
        <w:rPr>
          <w:b/>
        </w:rPr>
        <w:t>P</w:t>
      </w:r>
      <w:r w:rsidR="00B87948" w:rsidRPr="00B87948">
        <w:rPr>
          <w:b/>
        </w:rPr>
        <w:t xml:space="preserve">orto </w:t>
      </w:r>
      <w:r w:rsidR="00B87948">
        <w:rPr>
          <w:b/>
        </w:rPr>
        <w:t>Al</w:t>
      </w:r>
      <w:r w:rsidR="00B87948" w:rsidRPr="00B87948">
        <w:rPr>
          <w:b/>
        </w:rPr>
        <w:t>egre e dá outras providências</w:t>
      </w:r>
      <w:r w:rsidR="00B87948">
        <w:rPr>
          <w:b/>
        </w:rPr>
        <w:t xml:space="preserve"> –</w:t>
      </w:r>
      <w:r w:rsidR="00B87948" w:rsidRPr="00580C8D">
        <w:rPr>
          <w:b/>
        </w:rPr>
        <w:t>,</w:t>
      </w:r>
      <w:r w:rsidR="00B87948">
        <w:rPr>
          <w:b/>
        </w:rPr>
        <w:t xml:space="preserve"> e alterações posteriores,</w:t>
      </w:r>
      <w:r w:rsidR="00B87948" w:rsidRPr="00580C8D">
        <w:rPr>
          <w:b/>
        </w:rPr>
        <w:t xml:space="preserve"> </w:t>
      </w:r>
      <w:r w:rsidR="00A24A42">
        <w:rPr>
          <w:b/>
        </w:rPr>
        <w:t>dispondo sobre requerimento de</w:t>
      </w:r>
      <w:r w:rsidR="007A5065">
        <w:rPr>
          <w:b/>
        </w:rPr>
        <w:t xml:space="preserve"> Alvará de Licença e </w:t>
      </w:r>
      <w:r w:rsidRPr="00580C8D">
        <w:rPr>
          <w:b/>
        </w:rPr>
        <w:t xml:space="preserve">especificando </w:t>
      </w:r>
      <w:r w:rsidR="007A5065">
        <w:rPr>
          <w:b/>
        </w:rPr>
        <w:t>seus</w:t>
      </w:r>
      <w:r w:rsidR="007A5065" w:rsidRPr="00580C8D">
        <w:rPr>
          <w:b/>
        </w:rPr>
        <w:t xml:space="preserve"> </w:t>
      </w:r>
      <w:r w:rsidRPr="00580C8D">
        <w:rPr>
          <w:b/>
        </w:rPr>
        <w:t>elementos essenciais</w:t>
      </w:r>
      <w:r w:rsidR="009D7044" w:rsidRPr="009D7044">
        <w:rPr>
          <w:b/>
        </w:rPr>
        <w:t>.</w:t>
      </w:r>
      <w:r w:rsidR="000E7BFC" w:rsidRPr="004F3EE7">
        <w:rPr>
          <w:b/>
        </w:rPr>
        <w:t xml:space="preserve"> </w:t>
      </w:r>
    </w:p>
    <w:p w14:paraId="3807295F" w14:textId="77777777" w:rsidR="00836FD6" w:rsidRDefault="00836FD6">
      <w:pPr>
        <w:jc w:val="center"/>
      </w:pPr>
    </w:p>
    <w:p w14:paraId="05CAFF07" w14:textId="77777777" w:rsidR="00836FD6" w:rsidRDefault="00836FD6">
      <w:pPr>
        <w:jc w:val="center"/>
      </w:pPr>
    </w:p>
    <w:p w14:paraId="2D20C526" w14:textId="3C51B53B" w:rsidR="00B56E2B" w:rsidRPr="00B56E2B" w:rsidRDefault="00C27B67" w:rsidP="00B56E2B">
      <w:pPr>
        <w:ind w:firstLine="1418"/>
        <w:jc w:val="both"/>
      </w:pPr>
      <w:r w:rsidRPr="00D167BA">
        <w:rPr>
          <w:b/>
        </w:rPr>
        <w:t>Art. 1</w:t>
      </w:r>
      <w:r w:rsidR="002418E0">
        <w:rPr>
          <w:b/>
        </w:rPr>
        <w:t>º</w:t>
      </w:r>
      <w:r w:rsidRPr="00D167BA">
        <w:t xml:space="preserve">  </w:t>
      </w:r>
      <w:r w:rsidR="00B836F1">
        <w:t xml:space="preserve">No art. 30 </w:t>
      </w:r>
      <w:r w:rsidR="00B836F1" w:rsidRPr="000429BB">
        <w:t>da Lei Complementar nº 12</w:t>
      </w:r>
      <w:r w:rsidR="00B836F1">
        <w:t>,</w:t>
      </w:r>
      <w:r w:rsidR="00B836F1" w:rsidRPr="000429BB">
        <w:t xml:space="preserve"> de 7 de janeiro de 1975</w:t>
      </w:r>
      <w:r w:rsidR="00B836F1">
        <w:t>, e alterações posteriores, f</w:t>
      </w:r>
      <w:r w:rsidR="00B87948">
        <w:t>ica</w:t>
      </w:r>
      <w:r w:rsidR="005E2C56">
        <w:t>m</w:t>
      </w:r>
      <w:r w:rsidR="00B87948">
        <w:t xml:space="preserve"> alterado</w:t>
      </w:r>
      <w:r w:rsidR="005E2C56">
        <w:t>s</w:t>
      </w:r>
      <w:r w:rsidR="00B87948">
        <w:t xml:space="preserve"> o </w:t>
      </w:r>
      <w:r w:rsidR="00252F5F" w:rsidRPr="00C900A7">
        <w:rPr>
          <w:i/>
          <w:iCs/>
        </w:rPr>
        <w:t>caput</w:t>
      </w:r>
      <w:r w:rsidR="00252F5F">
        <w:t xml:space="preserve"> </w:t>
      </w:r>
      <w:r w:rsidR="005E2C56">
        <w:t>e o § 2º</w:t>
      </w:r>
      <w:r w:rsidR="0020100C">
        <w:t xml:space="preserve"> e ficam incluídos §§ 3º e 4º, </w:t>
      </w:r>
      <w:r w:rsidR="00674990">
        <w:t>conforme segue</w:t>
      </w:r>
      <w:r w:rsidR="00B56E2B" w:rsidRPr="00B56E2B">
        <w:t>:</w:t>
      </w:r>
    </w:p>
    <w:p w14:paraId="539058DF" w14:textId="77777777" w:rsidR="00B56E2B" w:rsidRDefault="00B56E2B" w:rsidP="00B56E2B">
      <w:pPr>
        <w:ind w:firstLine="1418"/>
        <w:jc w:val="both"/>
      </w:pPr>
    </w:p>
    <w:p w14:paraId="3E8D2AFE" w14:textId="25A25FFE" w:rsidR="000429BB" w:rsidRDefault="00B56E2B" w:rsidP="000429BB">
      <w:pPr>
        <w:ind w:firstLine="1418"/>
        <w:jc w:val="both"/>
      </w:pPr>
      <w:r w:rsidRPr="00B56E2B">
        <w:t xml:space="preserve">“Art. </w:t>
      </w:r>
      <w:r w:rsidR="000429BB">
        <w:t xml:space="preserve">30.  </w:t>
      </w:r>
      <w:r w:rsidR="000429BB" w:rsidRPr="000429BB">
        <w:t xml:space="preserve">O Alvará de Licença será expedido mediante requerimento ao Prefeito ou à </w:t>
      </w:r>
      <w:r w:rsidR="00E0429C">
        <w:t>s</w:t>
      </w:r>
      <w:r w:rsidR="000429BB" w:rsidRPr="000429BB">
        <w:t xml:space="preserve">ecretaria </w:t>
      </w:r>
      <w:r w:rsidR="00E0429C">
        <w:t xml:space="preserve">municipal </w:t>
      </w:r>
      <w:r w:rsidR="000429BB" w:rsidRPr="000429BB">
        <w:t>competente.</w:t>
      </w:r>
    </w:p>
    <w:p w14:paraId="0B12C9ED" w14:textId="2B9F3D72" w:rsidR="00252F5F" w:rsidRDefault="00252F5F" w:rsidP="000429BB">
      <w:pPr>
        <w:ind w:firstLine="1418"/>
        <w:jc w:val="both"/>
      </w:pPr>
    </w:p>
    <w:p w14:paraId="77ACB8E7" w14:textId="4207A01E" w:rsidR="00A92CE7" w:rsidRDefault="00A92CE7" w:rsidP="000429BB">
      <w:pPr>
        <w:ind w:firstLine="1418"/>
        <w:jc w:val="both"/>
      </w:pPr>
      <w:r>
        <w:t xml:space="preserve">§ 1º  </w:t>
      </w:r>
      <w:r w:rsidR="00252F5F">
        <w:t>..................................................................................................................</w:t>
      </w:r>
      <w:r>
        <w:t>..........</w:t>
      </w:r>
    </w:p>
    <w:p w14:paraId="39966E2C" w14:textId="5B0D6E91" w:rsidR="00A92CE7" w:rsidRDefault="00A92CE7" w:rsidP="000429BB">
      <w:pPr>
        <w:ind w:firstLine="1418"/>
        <w:jc w:val="both"/>
      </w:pPr>
    </w:p>
    <w:p w14:paraId="519F72E2" w14:textId="70C762A3" w:rsidR="00C5656F" w:rsidRDefault="00A92CE7">
      <w:pPr>
        <w:ind w:firstLine="1418"/>
        <w:jc w:val="both"/>
      </w:pPr>
      <w:r w:rsidRPr="000429BB">
        <w:t xml:space="preserve">§ 2º </w:t>
      </w:r>
      <w:r>
        <w:t xml:space="preserve"> </w:t>
      </w:r>
      <w:r w:rsidRPr="000429BB">
        <w:t>O estabelecimento cujo Alvará caducar deverá requerer outro com os novos elementos essenciais</w:t>
      </w:r>
      <w:r>
        <w:t>.</w:t>
      </w:r>
    </w:p>
    <w:p w14:paraId="4931A3BE" w14:textId="77777777" w:rsidR="00C5656F" w:rsidRDefault="00C5656F" w:rsidP="000429BB">
      <w:pPr>
        <w:ind w:firstLine="1418"/>
        <w:jc w:val="both"/>
      </w:pPr>
    </w:p>
    <w:p w14:paraId="48B7242B" w14:textId="08A81641" w:rsidR="000429BB" w:rsidRPr="000429BB" w:rsidRDefault="00575E1D" w:rsidP="000429BB">
      <w:pPr>
        <w:ind w:firstLine="1418"/>
        <w:jc w:val="both"/>
      </w:pPr>
      <w:r>
        <w:t>§ 3º  Para os fins desta Lei Complementar, são</w:t>
      </w:r>
      <w:r w:rsidR="000429BB" w:rsidRPr="000429BB">
        <w:t xml:space="preserve"> considerados elementos essenciais</w:t>
      </w:r>
      <w:r w:rsidR="00325B37">
        <w:t xml:space="preserve"> do Alvará</w:t>
      </w:r>
      <w:r>
        <w:t xml:space="preserve"> </w:t>
      </w:r>
      <w:r w:rsidR="00325B37">
        <w:t>as seguintes informações</w:t>
      </w:r>
      <w:r w:rsidR="000429BB" w:rsidRPr="000429BB">
        <w:t>:</w:t>
      </w:r>
    </w:p>
    <w:p w14:paraId="1573B7A1" w14:textId="77777777" w:rsidR="00C5656F" w:rsidRDefault="00C5656F" w:rsidP="000429BB">
      <w:pPr>
        <w:ind w:firstLine="1418"/>
        <w:jc w:val="both"/>
      </w:pPr>
    </w:p>
    <w:p w14:paraId="34F373EB" w14:textId="2935F138" w:rsidR="000429BB" w:rsidRPr="000429BB" w:rsidRDefault="000429BB" w:rsidP="000429BB">
      <w:pPr>
        <w:ind w:firstLine="1418"/>
        <w:jc w:val="both"/>
      </w:pPr>
      <w:r w:rsidRPr="000429BB">
        <w:t>I – número de inscrição;</w:t>
      </w:r>
    </w:p>
    <w:p w14:paraId="4007D250" w14:textId="77777777" w:rsidR="00C5656F" w:rsidRDefault="00C5656F" w:rsidP="000429BB">
      <w:pPr>
        <w:ind w:firstLine="1418"/>
        <w:jc w:val="both"/>
      </w:pPr>
    </w:p>
    <w:p w14:paraId="7AB2C03B" w14:textId="13585D81" w:rsidR="000429BB" w:rsidRPr="000429BB" w:rsidRDefault="000429BB" w:rsidP="000429BB">
      <w:pPr>
        <w:ind w:firstLine="1418"/>
        <w:jc w:val="both"/>
      </w:pPr>
      <w:r w:rsidRPr="000429BB">
        <w:t>II – razão social;</w:t>
      </w:r>
    </w:p>
    <w:p w14:paraId="5E0185C2" w14:textId="77777777" w:rsidR="00C5656F" w:rsidRDefault="00C5656F" w:rsidP="000429BB">
      <w:pPr>
        <w:ind w:firstLine="1418"/>
        <w:jc w:val="both"/>
      </w:pPr>
    </w:p>
    <w:p w14:paraId="36858AAD" w14:textId="336A7F93" w:rsidR="000429BB" w:rsidRPr="000429BB" w:rsidRDefault="000429BB" w:rsidP="000429BB">
      <w:pPr>
        <w:ind w:firstLine="1418"/>
        <w:jc w:val="both"/>
      </w:pPr>
      <w:r w:rsidRPr="000429BB">
        <w:t xml:space="preserve">III </w:t>
      </w:r>
      <w:r w:rsidR="00C5656F">
        <w:t>–</w:t>
      </w:r>
      <w:r w:rsidRPr="000429BB">
        <w:t xml:space="preserve"> </w:t>
      </w:r>
      <w:r w:rsidR="00300C2A">
        <w:t xml:space="preserve">número do </w:t>
      </w:r>
      <w:r w:rsidRPr="000429BB">
        <w:t>C</w:t>
      </w:r>
      <w:r w:rsidR="00300C2A">
        <w:t xml:space="preserve">adastro de </w:t>
      </w:r>
      <w:r w:rsidRPr="000429BB">
        <w:t>P</w:t>
      </w:r>
      <w:r w:rsidR="00300C2A">
        <w:t xml:space="preserve">essoa </w:t>
      </w:r>
      <w:r w:rsidRPr="000429BB">
        <w:t>F</w:t>
      </w:r>
      <w:r w:rsidR="00300C2A">
        <w:t xml:space="preserve">ísica (CPF) ou do </w:t>
      </w:r>
      <w:r w:rsidRPr="000429BB">
        <w:t>C</w:t>
      </w:r>
      <w:r w:rsidR="00300C2A">
        <w:t xml:space="preserve">adastro </w:t>
      </w:r>
      <w:r w:rsidRPr="000429BB">
        <w:t>N</w:t>
      </w:r>
      <w:r w:rsidR="00300C2A">
        <w:t>acional d</w:t>
      </w:r>
      <w:r w:rsidR="00FE497A">
        <w:t>a</w:t>
      </w:r>
      <w:r w:rsidR="00300C2A">
        <w:t xml:space="preserve"> </w:t>
      </w:r>
      <w:r w:rsidRPr="000429BB">
        <w:t>P</w:t>
      </w:r>
      <w:r w:rsidR="00300C2A">
        <w:t xml:space="preserve">essoa </w:t>
      </w:r>
      <w:r w:rsidRPr="000429BB">
        <w:t>J</w:t>
      </w:r>
      <w:r w:rsidR="00300C2A">
        <w:t>urídica (CNPJ)</w:t>
      </w:r>
      <w:r w:rsidRPr="000429BB">
        <w:t>;</w:t>
      </w:r>
    </w:p>
    <w:p w14:paraId="607B2785" w14:textId="77777777" w:rsidR="00C5656F" w:rsidRDefault="00C5656F" w:rsidP="000429BB">
      <w:pPr>
        <w:ind w:firstLine="1418"/>
        <w:jc w:val="both"/>
      </w:pPr>
    </w:p>
    <w:p w14:paraId="3C25D069" w14:textId="7B755CEF" w:rsidR="000429BB" w:rsidRPr="000429BB" w:rsidRDefault="000429BB" w:rsidP="000429BB">
      <w:pPr>
        <w:ind w:firstLine="1418"/>
        <w:jc w:val="both"/>
      </w:pPr>
      <w:r w:rsidRPr="000429BB">
        <w:t>IV – endereço completo;</w:t>
      </w:r>
    </w:p>
    <w:p w14:paraId="1CEDEBC1" w14:textId="77777777" w:rsidR="00C5656F" w:rsidRDefault="00C5656F" w:rsidP="000429BB">
      <w:pPr>
        <w:ind w:firstLine="1418"/>
        <w:jc w:val="both"/>
      </w:pPr>
    </w:p>
    <w:p w14:paraId="11B92384" w14:textId="6FA80C54" w:rsidR="000429BB" w:rsidRPr="000429BB" w:rsidRDefault="000429BB" w:rsidP="000429BB">
      <w:pPr>
        <w:ind w:firstLine="1418"/>
        <w:jc w:val="both"/>
      </w:pPr>
      <w:r w:rsidRPr="000429BB">
        <w:t>V – ramo de atividade;</w:t>
      </w:r>
    </w:p>
    <w:p w14:paraId="58933F40" w14:textId="77777777" w:rsidR="00C5656F" w:rsidRDefault="00C5656F" w:rsidP="000429BB">
      <w:pPr>
        <w:ind w:firstLine="1418"/>
        <w:jc w:val="both"/>
      </w:pPr>
    </w:p>
    <w:p w14:paraId="06942A7E" w14:textId="17ACFA94" w:rsidR="000429BB" w:rsidRPr="000429BB" w:rsidRDefault="000429BB" w:rsidP="000429BB">
      <w:pPr>
        <w:ind w:firstLine="1418"/>
        <w:jc w:val="both"/>
      </w:pPr>
      <w:r w:rsidRPr="000429BB">
        <w:t xml:space="preserve">VI </w:t>
      </w:r>
      <w:r w:rsidR="00C5656F">
        <w:t>–</w:t>
      </w:r>
      <w:r w:rsidRPr="000429BB">
        <w:t xml:space="preserve"> atividades secundárias;</w:t>
      </w:r>
      <w:r w:rsidR="00151841">
        <w:t xml:space="preserve"> e</w:t>
      </w:r>
    </w:p>
    <w:p w14:paraId="0C6FA1C0" w14:textId="77777777" w:rsidR="00C5656F" w:rsidRDefault="00C5656F" w:rsidP="000429BB">
      <w:pPr>
        <w:ind w:firstLine="1418"/>
        <w:jc w:val="both"/>
      </w:pPr>
    </w:p>
    <w:p w14:paraId="7D2EC557" w14:textId="6215C0E0" w:rsidR="000429BB" w:rsidRPr="000429BB" w:rsidRDefault="000429BB" w:rsidP="000429BB">
      <w:pPr>
        <w:ind w:firstLine="1418"/>
        <w:jc w:val="both"/>
      </w:pPr>
      <w:r w:rsidRPr="000429BB">
        <w:t>VII – data de emissão do documento</w:t>
      </w:r>
      <w:r w:rsidR="00151841">
        <w:t>.</w:t>
      </w:r>
      <w:r w:rsidRPr="000429BB">
        <w:t> </w:t>
      </w:r>
    </w:p>
    <w:p w14:paraId="6EB89411" w14:textId="77777777" w:rsidR="00C5656F" w:rsidRDefault="00C5656F" w:rsidP="00B56E2B">
      <w:pPr>
        <w:ind w:firstLine="1418"/>
        <w:jc w:val="both"/>
      </w:pPr>
    </w:p>
    <w:p w14:paraId="6FE811BE" w14:textId="14326845" w:rsidR="00B56E2B" w:rsidRPr="00B56E2B" w:rsidRDefault="00575E1D" w:rsidP="00B56E2B">
      <w:pPr>
        <w:ind w:firstLine="1418"/>
        <w:jc w:val="both"/>
      </w:pPr>
      <w:r>
        <w:t xml:space="preserve">§ 4º  </w:t>
      </w:r>
      <w:r w:rsidR="00F05796">
        <w:t xml:space="preserve">A modificação </w:t>
      </w:r>
      <w:r w:rsidR="007128BC">
        <w:t>das atividades secundárias referidas</w:t>
      </w:r>
      <w:r w:rsidR="00F05796">
        <w:t xml:space="preserve"> no inc. VI do §</w:t>
      </w:r>
      <w:r w:rsidR="00BB5941">
        <w:t xml:space="preserve"> </w:t>
      </w:r>
      <w:r w:rsidR="00F05796">
        <w:t>3º deste artigo será</w:t>
      </w:r>
      <w:r w:rsidRPr="000429BB">
        <w:t xml:space="preserve"> considerada alteração de elemento essencial somente quando elevar qualquer classificação de risco do estabelecimento, de acordo com a legislação vigente</w:t>
      </w:r>
      <w:r>
        <w:t>.</w:t>
      </w:r>
      <w:r w:rsidR="00B56E2B" w:rsidRPr="00B56E2B">
        <w:t>”</w:t>
      </w:r>
      <w:r w:rsidR="000429BB">
        <w:t xml:space="preserve"> (NR)</w:t>
      </w:r>
    </w:p>
    <w:p w14:paraId="2425B080" w14:textId="77777777" w:rsidR="00884FCE" w:rsidRPr="00884FCE" w:rsidRDefault="00884FCE" w:rsidP="00884FCE">
      <w:pPr>
        <w:ind w:firstLine="1418"/>
        <w:jc w:val="both"/>
      </w:pPr>
      <w:r w:rsidRPr="00884FCE">
        <w:t> </w:t>
      </w:r>
    </w:p>
    <w:p w14:paraId="40297B76" w14:textId="44B49331" w:rsidR="00836FD6" w:rsidRDefault="00884FCE" w:rsidP="00C900A7">
      <w:pPr>
        <w:ind w:firstLine="1418"/>
        <w:jc w:val="both"/>
      </w:pPr>
      <w:r w:rsidRPr="00884FCE">
        <w:rPr>
          <w:b/>
          <w:bCs/>
        </w:rPr>
        <w:t xml:space="preserve">Art. </w:t>
      </w:r>
      <w:r w:rsidR="008376F0">
        <w:rPr>
          <w:b/>
          <w:bCs/>
        </w:rPr>
        <w:t>2</w:t>
      </w:r>
      <w:r w:rsidRPr="00884FCE">
        <w:rPr>
          <w:b/>
          <w:bCs/>
        </w:rPr>
        <w:t>º</w:t>
      </w:r>
      <w:r w:rsidRPr="00884FCE">
        <w:t xml:space="preserve"> </w:t>
      </w:r>
      <w:r w:rsidR="0035056A">
        <w:t xml:space="preserve"> </w:t>
      </w:r>
      <w:r w:rsidRPr="00884FCE">
        <w:t xml:space="preserve">Esta Lei </w:t>
      </w:r>
      <w:r w:rsidR="00C86184">
        <w:t xml:space="preserve">Complementar </w:t>
      </w:r>
      <w:r w:rsidRPr="00884FCE">
        <w:t>entra em vigor na data de sua publicação</w:t>
      </w:r>
      <w:r w:rsidR="00D47DC3">
        <w:t>.</w:t>
      </w:r>
    </w:p>
    <w:p w14:paraId="7E3A1C85" w14:textId="7240ED47" w:rsidR="00284A04" w:rsidRPr="00284A04" w:rsidRDefault="00284A04" w:rsidP="00284A04">
      <w:pPr>
        <w:jc w:val="both"/>
        <w:rPr>
          <w:sz w:val="20"/>
          <w:szCs w:val="20"/>
        </w:rPr>
      </w:pPr>
      <w:r w:rsidRPr="00284A04">
        <w:rPr>
          <w:sz w:val="20"/>
          <w:szCs w:val="20"/>
        </w:rPr>
        <w:t>/JEN</w:t>
      </w:r>
    </w:p>
    <w:sectPr w:rsidR="00284A04" w:rsidRPr="00284A04">
      <w:headerReference w:type="default" r:id="rId8"/>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96B3F" w14:textId="77777777" w:rsidR="0081653C" w:rsidRDefault="0081653C">
      <w:r>
        <w:separator/>
      </w:r>
    </w:p>
  </w:endnote>
  <w:endnote w:type="continuationSeparator" w:id="0">
    <w:p w14:paraId="734AE3E4" w14:textId="77777777" w:rsidR="0081653C" w:rsidRDefault="0081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7BB38" w14:textId="77777777" w:rsidR="0081653C" w:rsidRDefault="0081653C">
      <w:r>
        <w:separator/>
      </w:r>
    </w:p>
  </w:footnote>
  <w:footnote w:type="continuationSeparator" w:id="0">
    <w:p w14:paraId="55434574" w14:textId="77777777" w:rsidR="0081653C" w:rsidRDefault="0081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117EE" w14:textId="77777777" w:rsidR="00836FD6" w:rsidRDefault="00C27B67">
    <w:pPr>
      <w:pStyle w:val="Cabealho"/>
      <w:jc w:val="right"/>
      <w:rPr>
        <w:b/>
        <w:bCs/>
      </w:rPr>
    </w:pPr>
    <w:r>
      <w:rPr>
        <w:b/>
        <w:bCs/>
        <w:noProof/>
      </w:rPr>
      <mc:AlternateContent>
        <mc:Choice Requires="wps">
          <w:drawing>
            <wp:anchor distT="0" distB="0" distL="0" distR="0" simplePos="0" relativeHeight="3" behindDoc="1" locked="0" layoutInCell="1" allowOverlap="1" wp14:anchorId="799E83E6" wp14:editId="5136FAD3">
              <wp:simplePos x="0" y="0"/>
              <wp:positionH relativeFrom="column">
                <wp:posOffset>4653280</wp:posOffset>
              </wp:positionH>
              <wp:positionV relativeFrom="paragraph">
                <wp:posOffset>133350</wp:posOffset>
              </wp:positionV>
              <wp:extent cx="1301115" cy="25273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032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35pt;height:19.8pt" wp14:anchorId="5B8DA981">
              <w10:wrap type="none"/>
              <v:fill o:detectmouseclick="t" on="false"/>
              <v:stroke color="black" weight="12600" joinstyle="miter" endcap="flat"/>
            </v:rect>
          </w:pict>
        </mc:Fallback>
      </mc:AlternateContent>
    </w:r>
  </w:p>
  <w:p w14:paraId="51800896" w14:textId="77777777" w:rsidR="00836FD6" w:rsidRDefault="00C27B67">
    <w:pPr>
      <w:pStyle w:val="Cabealho"/>
      <w:jc w:val="right"/>
    </w:pPr>
    <w:r>
      <w:rPr>
        <w:b/>
        <w:bCs/>
      </w:rPr>
      <w:t>CMPA – Fl. 0</w:t>
    </w:r>
    <w:r>
      <w:rPr>
        <w:b/>
        <w:bCs/>
      </w:rPr>
      <w:fldChar w:fldCharType="begin"/>
    </w:r>
    <w:r>
      <w:rPr>
        <w:b/>
        <w:bCs/>
      </w:rPr>
      <w:instrText>PAGE</w:instrText>
    </w:r>
    <w:r>
      <w:rPr>
        <w:b/>
        <w:bCs/>
      </w:rPr>
      <w:fldChar w:fldCharType="separate"/>
    </w:r>
    <w:r w:rsidR="00A24A42">
      <w:rPr>
        <w:b/>
        <w:bCs/>
        <w:noProof/>
      </w:rPr>
      <w:t>4</w:t>
    </w:r>
    <w:r>
      <w:rPr>
        <w:b/>
        <w:bCs/>
      </w:rPr>
      <w:fldChar w:fldCharType="end"/>
    </w:r>
    <w:r>
      <w:rPr>
        <w:b/>
        <w:bCs/>
      </w:rPr>
      <w:t>|__</w:t>
    </w:r>
  </w:p>
  <w:p w14:paraId="37D63789" w14:textId="77777777" w:rsidR="00836FD6" w:rsidRDefault="00836FD6">
    <w:pPr>
      <w:pStyle w:val="Cabealho"/>
      <w:jc w:val="right"/>
      <w:rPr>
        <w:b/>
        <w:bCs/>
      </w:rPr>
    </w:pPr>
  </w:p>
  <w:p w14:paraId="301D62D4" w14:textId="6CD1553E" w:rsidR="00836FD6" w:rsidRDefault="00C27B67">
    <w:pPr>
      <w:pStyle w:val="Cabealho"/>
      <w:jc w:val="right"/>
      <w:rPr>
        <w:b/>
        <w:bCs/>
      </w:rPr>
    </w:pPr>
    <w:r>
      <w:rPr>
        <w:b/>
        <w:bCs/>
      </w:rPr>
      <w:t>PROC. Nº   0</w:t>
    </w:r>
    <w:r w:rsidR="00EF6ABA">
      <w:rPr>
        <w:b/>
        <w:bCs/>
      </w:rPr>
      <w:t>357</w:t>
    </w:r>
    <w:r>
      <w:rPr>
        <w:b/>
        <w:bCs/>
      </w:rPr>
      <w:t>/2</w:t>
    </w:r>
    <w:r w:rsidR="002C72E4">
      <w:rPr>
        <w:b/>
        <w:bCs/>
      </w:rPr>
      <w:t>1</w:t>
    </w:r>
  </w:p>
  <w:p w14:paraId="7265339B" w14:textId="3E1F952F" w:rsidR="00836FD6" w:rsidRDefault="002C72E4">
    <w:pPr>
      <w:pStyle w:val="Cabealho"/>
      <w:jc w:val="right"/>
    </w:pPr>
    <w:r>
      <w:rPr>
        <w:b/>
        <w:bCs/>
      </w:rPr>
      <w:t>PL</w:t>
    </w:r>
    <w:r w:rsidR="00EF6ABA">
      <w:rPr>
        <w:b/>
        <w:bCs/>
      </w:rPr>
      <w:t>C</w:t>
    </w:r>
    <w:r>
      <w:rPr>
        <w:b/>
        <w:bCs/>
      </w:rPr>
      <w:t xml:space="preserve">L  Nº     </w:t>
    </w:r>
    <w:r w:rsidR="00EF6ABA">
      <w:rPr>
        <w:b/>
        <w:bCs/>
      </w:rPr>
      <w:t>015</w:t>
    </w:r>
    <w:r>
      <w:rPr>
        <w:b/>
        <w:bCs/>
      </w:rPr>
      <w:t>/21</w:t>
    </w:r>
  </w:p>
  <w:p w14:paraId="2F79C449" w14:textId="77777777" w:rsidR="00836FD6" w:rsidRDefault="00836FD6">
    <w:pPr>
      <w:pStyle w:val="Cabealho"/>
      <w:jc w:val="right"/>
      <w:rPr>
        <w:b/>
        <w:bCs/>
      </w:rPr>
    </w:pPr>
  </w:p>
  <w:p w14:paraId="6D6BEB79" w14:textId="77777777" w:rsidR="00836FD6" w:rsidRDefault="00836FD6">
    <w:pPr>
      <w:pStyle w:val="Cabealho"/>
      <w:jc w:val="right"/>
      <w:rPr>
        <w:b/>
        <w:bCs/>
      </w:rPr>
    </w:pPr>
  </w:p>
  <w:p w14:paraId="603581AF" w14:textId="77777777" w:rsidR="00836FD6" w:rsidRDefault="00836FD6">
    <w:pPr>
      <w:pStyle w:val="Cabealho"/>
      <w:jc w:val="right"/>
      <w:rPr>
        <w:b/>
        <w:bCs/>
      </w:rPr>
    </w:pPr>
  </w:p>
  <w:p w14:paraId="7FBCF2CF" w14:textId="77777777" w:rsidR="00836FD6" w:rsidRDefault="00836FD6">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16CD0"/>
    <w:rsid w:val="000334BA"/>
    <w:rsid w:val="000403A8"/>
    <w:rsid w:val="000429BB"/>
    <w:rsid w:val="00045D76"/>
    <w:rsid w:val="00055F3F"/>
    <w:rsid w:val="00067288"/>
    <w:rsid w:val="00090408"/>
    <w:rsid w:val="000942F4"/>
    <w:rsid w:val="00094CC7"/>
    <w:rsid w:val="000C3A8D"/>
    <w:rsid w:val="000C7633"/>
    <w:rsid w:val="000E7BFC"/>
    <w:rsid w:val="001014D6"/>
    <w:rsid w:val="001140C4"/>
    <w:rsid w:val="00117E93"/>
    <w:rsid w:val="001267BD"/>
    <w:rsid w:val="001379C5"/>
    <w:rsid w:val="00151841"/>
    <w:rsid w:val="001623DB"/>
    <w:rsid w:val="00170940"/>
    <w:rsid w:val="001761F2"/>
    <w:rsid w:val="00182A2A"/>
    <w:rsid w:val="00185057"/>
    <w:rsid w:val="00186AD5"/>
    <w:rsid w:val="001904FA"/>
    <w:rsid w:val="00193D2D"/>
    <w:rsid w:val="001A48F2"/>
    <w:rsid w:val="001B065B"/>
    <w:rsid w:val="001F3CBB"/>
    <w:rsid w:val="001F763A"/>
    <w:rsid w:val="0020100C"/>
    <w:rsid w:val="0020270B"/>
    <w:rsid w:val="00204EDC"/>
    <w:rsid w:val="00211C83"/>
    <w:rsid w:val="002201AF"/>
    <w:rsid w:val="002418E0"/>
    <w:rsid w:val="00252F5F"/>
    <w:rsid w:val="00263BB5"/>
    <w:rsid w:val="00270EDE"/>
    <w:rsid w:val="002745E4"/>
    <w:rsid w:val="00283649"/>
    <w:rsid w:val="00284A04"/>
    <w:rsid w:val="002B5BAA"/>
    <w:rsid w:val="002C6D5A"/>
    <w:rsid w:val="002C72E4"/>
    <w:rsid w:val="002F0087"/>
    <w:rsid w:val="002F0C34"/>
    <w:rsid w:val="002F6989"/>
    <w:rsid w:val="002F769A"/>
    <w:rsid w:val="00300C2A"/>
    <w:rsid w:val="00325B37"/>
    <w:rsid w:val="0033011D"/>
    <w:rsid w:val="00347C5B"/>
    <w:rsid w:val="0035056A"/>
    <w:rsid w:val="00351CBD"/>
    <w:rsid w:val="00360096"/>
    <w:rsid w:val="00365B53"/>
    <w:rsid w:val="003662D4"/>
    <w:rsid w:val="00370CC4"/>
    <w:rsid w:val="0037170B"/>
    <w:rsid w:val="0037268D"/>
    <w:rsid w:val="00375619"/>
    <w:rsid w:val="003A10E0"/>
    <w:rsid w:val="003A4ED7"/>
    <w:rsid w:val="003B30AB"/>
    <w:rsid w:val="003B73F1"/>
    <w:rsid w:val="003B7409"/>
    <w:rsid w:val="003B7AF7"/>
    <w:rsid w:val="003D2C4E"/>
    <w:rsid w:val="003D5E87"/>
    <w:rsid w:val="003D69F8"/>
    <w:rsid w:val="003E6FB0"/>
    <w:rsid w:val="00405696"/>
    <w:rsid w:val="00417D63"/>
    <w:rsid w:val="00430AD3"/>
    <w:rsid w:val="00430C2C"/>
    <w:rsid w:val="00434798"/>
    <w:rsid w:val="004638E5"/>
    <w:rsid w:val="004717DE"/>
    <w:rsid w:val="00473628"/>
    <w:rsid w:val="004756F0"/>
    <w:rsid w:val="00491BA0"/>
    <w:rsid w:val="00493B4F"/>
    <w:rsid w:val="0049723A"/>
    <w:rsid w:val="004A4F3A"/>
    <w:rsid w:val="004D075E"/>
    <w:rsid w:val="004D6B86"/>
    <w:rsid w:val="004E5F9E"/>
    <w:rsid w:val="004F3EE7"/>
    <w:rsid w:val="00515D0D"/>
    <w:rsid w:val="00534124"/>
    <w:rsid w:val="0054399E"/>
    <w:rsid w:val="00554453"/>
    <w:rsid w:val="0055651F"/>
    <w:rsid w:val="005568BC"/>
    <w:rsid w:val="00575E1D"/>
    <w:rsid w:val="00580C8D"/>
    <w:rsid w:val="00593719"/>
    <w:rsid w:val="005C1B42"/>
    <w:rsid w:val="005C2BD6"/>
    <w:rsid w:val="005C5C74"/>
    <w:rsid w:val="005C6725"/>
    <w:rsid w:val="005C7D15"/>
    <w:rsid w:val="005E2C56"/>
    <w:rsid w:val="005F414F"/>
    <w:rsid w:val="005F45E7"/>
    <w:rsid w:val="005F6177"/>
    <w:rsid w:val="0060290F"/>
    <w:rsid w:val="006163B8"/>
    <w:rsid w:val="00625EE5"/>
    <w:rsid w:val="00627C93"/>
    <w:rsid w:val="006326A7"/>
    <w:rsid w:val="00636202"/>
    <w:rsid w:val="00637BD5"/>
    <w:rsid w:val="00652ACE"/>
    <w:rsid w:val="0066527E"/>
    <w:rsid w:val="00674990"/>
    <w:rsid w:val="00677CC1"/>
    <w:rsid w:val="00686B21"/>
    <w:rsid w:val="006B545F"/>
    <w:rsid w:val="006C1B95"/>
    <w:rsid w:val="006D6B46"/>
    <w:rsid w:val="007128BC"/>
    <w:rsid w:val="007148C1"/>
    <w:rsid w:val="0072511A"/>
    <w:rsid w:val="0073043E"/>
    <w:rsid w:val="0073647D"/>
    <w:rsid w:val="00742FC9"/>
    <w:rsid w:val="00750438"/>
    <w:rsid w:val="007530C2"/>
    <w:rsid w:val="00763F4C"/>
    <w:rsid w:val="00764AE9"/>
    <w:rsid w:val="00772E13"/>
    <w:rsid w:val="00792617"/>
    <w:rsid w:val="00792FAF"/>
    <w:rsid w:val="007A2C70"/>
    <w:rsid w:val="007A5065"/>
    <w:rsid w:val="007B0D08"/>
    <w:rsid w:val="007B2F6B"/>
    <w:rsid w:val="007C0EAD"/>
    <w:rsid w:val="007C3A82"/>
    <w:rsid w:val="00801137"/>
    <w:rsid w:val="00802658"/>
    <w:rsid w:val="008066DB"/>
    <w:rsid w:val="0081092A"/>
    <w:rsid w:val="008111E6"/>
    <w:rsid w:val="0081251C"/>
    <w:rsid w:val="0081653C"/>
    <w:rsid w:val="00830231"/>
    <w:rsid w:val="008364E5"/>
    <w:rsid w:val="00836FD6"/>
    <w:rsid w:val="008376F0"/>
    <w:rsid w:val="0084157F"/>
    <w:rsid w:val="00855BB3"/>
    <w:rsid w:val="0088371A"/>
    <w:rsid w:val="00884FCE"/>
    <w:rsid w:val="00891C30"/>
    <w:rsid w:val="00897694"/>
    <w:rsid w:val="008C1890"/>
    <w:rsid w:val="008D1EC6"/>
    <w:rsid w:val="008E71AB"/>
    <w:rsid w:val="008F19D9"/>
    <w:rsid w:val="00901B68"/>
    <w:rsid w:val="00904031"/>
    <w:rsid w:val="00910CCC"/>
    <w:rsid w:val="00916846"/>
    <w:rsid w:val="00922481"/>
    <w:rsid w:val="009311EB"/>
    <w:rsid w:val="009365A8"/>
    <w:rsid w:val="009449E9"/>
    <w:rsid w:val="00945D60"/>
    <w:rsid w:val="009515B4"/>
    <w:rsid w:val="009520E3"/>
    <w:rsid w:val="009615BC"/>
    <w:rsid w:val="0098166B"/>
    <w:rsid w:val="0098169E"/>
    <w:rsid w:val="009876C2"/>
    <w:rsid w:val="009B285C"/>
    <w:rsid w:val="009B3E54"/>
    <w:rsid w:val="009C75D0"/>
    <w:rsid w:val="009D7044"/>
    <w:rsid w:val="009F1F6C"/>
    <w:rsid w:val="009F4F8B"/>
    <w:rsid w:val="00A135C7"/>
    <w:rsid w:val="00A15FEB"/>
    <w:rsid w:val="00A22887"/>
    <w:rsid w:val="00A23BDB"/>
    <w:rsid w:val="00A24A42"/>
    <w:rsid w:val="00A25BFD"/>
    <w:rsid w:val="00A317A8"/>
    <w:rsid w:val="00A32125"/>
    <w:rsid w:val="00A37392"/>
    <w:rsid w:val="00A42836"/>
    <w:rsid w:val="00A47D31"/>
    <w:rsid w:val="00A5670A"/>
    <w:rsid w:val="00A6266B"/>
    <w:rsid w:val="00A631D8"/>
    <w:rsid w:val="00A704FB"/>
    <w:rsid w:val="00A709FA"/>
    <w:rsid w:val="00A72D33"/>
    <w:rsid w:val="00A7360E"/>
    <w:rsid w:val="00A85983"/>
    <w:rsid w:val="00A86E4E"/>
    <w:rsid w:val="00A90AF5"/>
    <w:rsid w:val="00A92CE7"/>
    <w:rsid w:val="00A944E5"/>
    <w:rsid w:val="00A97002"/>
    <w:rsid w:val="00AA3198"/>
    <w:rsid w:val="00AA5532"/>
    <w:rsid w:val="00AB068E"/>
    <w:rsid w:val="00AB09F0"/>
    <w:rsid w:val="00AC1E65"/>
    <w:rsid w:val="00AC42CC"/>
    <w:rsid w:val="00AE0E12"/>
    <w:rsid w:val="00AF12FF"/>
    <w:rsid w:val="00B13185"/>
    <w:rsid w:val="00B133C0"/>
    <w:rsid w:val="00B169DA"/>
    <w:rsid w:val="00B232E3"/>
    <w:rsid w:val="00B46669"/>
    <w:rsid w:val="00B46892"/>
    <w:rsid w:val="00B56E2B"/>
    <w:rsid w:val="00B642D2"/>
    <w:rsid w:val="00B836F1"/>
    <w:rsid w:val="00B83A93"/>
    <w:rsid w:val="00B86BF5"/>
    <w:rsid w:val="00B87948"/>
    <w:rsid w:val="00B9496B"/>
    <w:rsid w:val="00B9630A"/>
    <w:rsid w:val="00B96B18"/>
    <w:rsid w:val="00BB5941"/>
    <w:rsid w:val="00BB72F1"/>
    <w:rsid w:val="00BC484C"/>
    <w:rsid w:val="00BE1376"/>
    <w:rsid w:val="00BF1F24"/>
    <w:rsid w:val="00BF7B19"/>
    <w:rsid w:val="00C00A6C"/>
    <w:rsid w:val="00C027D9"/>
    <w:rsid w:val="00C0657A"/>
    <w:rsid w:val="00C27B67"/>
    <w:rsid w:val="00C3124E"/>
    <w:rsid w:val="00C400DD"/>
    <w:rsid w:val="00C45D19"/>
    <w:rsid w:val="00C5656F"/>
    <w:rsid w:val="00C708E3"/>
    <w:rsid w:val="00C74352"/>
    <w:rsid w:val="00C75EA1"/>
    <w:rsid w:val="00C86184"/>
    <w:rsid w:val="00C900A7"/>
    <w:rsid w:val="00C91853"/>
    <w:rsid w:val="00C936D4"/>
    <w:rsid w:val="00CB22EB"/>
    <w:rsid w:val="00CC4046"/>
    <w:rsid w:val="00CF1B83"/>
    <w:rsid w:val="00D167BA"/>
    <w:rsid w:val="00D32417"/>
    <w:rsid w:val="00D34FF1"/>
    <w:rsid w:val="00D3721B"/>
    <w:rsid w:val="00D404A9"/>
    <w:rsid w:val="00D47DC3"/>
    <w:rsid w:val="00D569B3"/>
    <w:rsid w:val="00D601CA"/>
    <w:rsid w:val="00D602A4"/>
    <w:rsid w:val="00D66636"/>
    <w:rsid w:val="00D744FB"/>
    <w:rsid w:val="00D82B04"/>
    <w:rsid w:val="00D83B80"/>
    <w:rsid w:val="00D83DB2"/>
    <w:rsid w:val="00D84E7F"/>
    <w:rsid w:val="00D8602B"/>
    <w:rsid w:val="00D87747"/>
    <w:rsid w:val="00D91A78"/>
    <w:rsid w:val="00D96859"/>
    <w:rsid w:val="00DA0277"/>
    <w:rsid w:val="00DA0779"/>
    <w:rsid w:val="00DA67E8"/>
    <w:rsid w:val="00DB0BA1"/>
    <w:rsid w:val="00DD2E99"/>
    <w:rsid w:val="00DD6625"/>
    <w:rsid w:val="00DF4464"/>
    <w:rsid w:val="00E0429C"/>
    <w:rsid w:val="00E1332B"/>
    <w:rsid w:val="00E21D27"/>
    <w:rsid w:val="00E32F68"/>
    <w:rsid w:val="00E46E3F"/>
    <w:rsid w:val="00E543D0"/>
    <w:rsid w:val="00E64B90"/>
    <w:rsid w:val="00E66ABE"/>
    <w:rsid w:val="00EA4A4A"/>
    <w:rsid w:val="00EB5799"/>
    <w:rsid w:val="00EC3B57"/>
    <w:rsid w:val="00EC58AD"/>
    <w:rsid w:val="00EC6371"/>
    <w:rsid w:val="00EC7B85"/>
    <w:rsid w:val="00EF6ABA"/>
    <w:rsid w:val="00F05796"/>
    <w:rsid w:val="00F30535"/>
    <w:rsid w:val="00F616ED"/>
    <w:rsid w:val="00F63760"/>
    <w:rsid w:val="00F9164F"/>
    <w:rsid w:val="00F96ADB"/>
    <w:rsid w:val="00FA7363"/>
    <w:rsid w:val="00FB138B"/>
    <w:rsid w:val="00FD2A7D"/>
    <w:rsid w:val="00FE497A"/>
    <w:rsid w:val="00FF1F0C"/>
    <w:rsid w:val="00FF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 w:type="character" w:styleId="TextodoEspaoReservado">
    <w:name w:val="Placeholder Text"/>
    <w:basedOn w:val="Fontepargpadro"/>
    <w:uiPriority w:val="99"/>
    <w:semiHidden/>
    <w:rsid w:val="00674990"/>
    <w:rPr>
      <w:color w:val="808080"/>
    </w:rPr>
  </w:style>
  <w:style w:type="character" w:styleId="Hyperlink">
    <w:name w:val="Hyperlink"/>
    <w:basedOn w:val="Fontepargpadro"/>
    <w:uiPriority w:val="99"/>
    <w:unhideWhenUsed/>
    <w:rsid w:val="000C3A8D"/>
    <w:rPr>
      <w:color w:val="0563C1" w:themeColor="hyperlink"/>
      <w:u w:val="single"/>
    </w:rPr>
  </w:style>
  <w:style w:type="character" w:customStyle="1" w:styleId="MenoPendente1">
    <w:name w:val="Menção Pendente1"/>
    <w:basedOn w:val="Fontepargpadro"/>
    <w:uiPriority w:val="99"/>
    <w:semiHidden/>
    <w:unhideWhenUsed/>
    <w:rsid w:val="000C3A8D"/>
    <w:rPr>
      <w:color w:val="605E5C"/>
      <w:shd w:val="clear" w:color="auto" w:fill="E1DFDD"/>
    </w:rPr>
  </w:style>
  <w:style w:type="character" w:customStyle="1" w:styleId="markedcontent">
    <w:name w:val="markedcontent"/>
    <w:basedOn w:val="Fontepargpadro"/>
    <w:rsid w:val="005E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554319">
      <w:bodyDiv w:val="1"/>
      <w:marLeft w:val="0"/>
      <w:marRight w:val="0"/>
      <w:marTop w:val="0"/>
      <w:marBottom w:val="0"/>
      <w:divBdr>
        <w:top w:val="none" w:sz="0" w:space="0" w:color="auto"/>
        <w:left w:val="none" w:sz="0" w:space="0" w:color="auto"/>
        <w:bottom w:val="none" w:sz="0" w:space="0" w:color="auto"/>
        <w:right w:val="none" w:sz="0" w:space="0" w:color="auto"/>
      </w:divBdr>
    </w:div>
    <w:div w:id="294795168">
      <w:bodyDiv w:val="1"/>
      <w:marLeft w:val="0"/>
      <w:marRight w:val="0"/>
      <w:marTop w:val="0"/>
      <w:marBottom w:val="0"/>
      <w:divBdr>
        <w:top w:val="none" w:sz="0" w:space="0" w:color="auto"/>
        <w:left w:val="none" w:sz="0" w:space="0" w:color="auto"/>
        <w:bottom w:val="none" w:sz="0" w:space="0" w:color="auto"/>
        <w:right w:val="none" w:sz="0" w:space="0" w:color="auto"/>
      </w:divBdr>
    </w:div>
    <w:div w:id="627709925">
      <w:bodyDiv w:val="1"/>
      <w:marLeft w:val="0"/>
      <w:marRight w:val="0"/>
      <w:marTop w:val="0"/>
      <w:marBottom w:val="0"/>
      <w:divBdr>
        <w:top w:val="none" w:sz="0" w:space="0" w:color="auto"/>
        <w:left w:val="none" w:sz="0" w:space="0" w:color="auto"/>
        <w:bottom w:val="none" w:sz="0" w:space="0" w:color="auto"/>
        <w:right w:val="none" w:sz="0" w:space="0" w:color="auto"/>
      </w:divBdr>
    </w:div>
    <w:div w:id="668102819">
      <w:bodyDiv w:val="1"/>
      <w:marLeft w:val="0"/>
      <w:marRight w:val="0"/>
      <w:marTop w:val="0"/>
      <w:marBottom w:val="0"/>
      <w:divBdr>
        <w:top w:val="none" w:sz="0" w:space="0" w:color="auto"/>
        <w:left w:val="none" w:sz="0" w:space="0" w:color="auto"/>
        <w:bottom w:val="none" w:sz="0" w:space="0" w:color="auto"/>
        <w:right w:val="none" w:sz="0" w:space="0" w:color="auto"/>
      </w:divBdr>
    </w:div>
    <w:div w:id="669403677">
      <w:bodyDiv w:val="1"/>
      <w:marLeft w:val="0"/>
      <w:marRight w:val="0"/>
      <w:marTop w:val="0"/>
      <w:marBottom w:val="0"/>
      <w:divBdr>
        <w:top w:val="none" w:sz="0" w:space="0" w:color="auto"/>
        <w:left w:val="none" w:sz="0" w:space="0" w:color="auto"/>
        <w:bottom w:val="none" w:sz="0" w:space="0" w:color="auto"/>
        <w:right w:val="none" w:sz="0" w:space="0" w:color="auto"/>
      </w:divBdr>
    </w:div>
    <w:div w:id="746153571">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873465234">
      <w:bodyDiv w:val="1"/>
      <w:marLeft w:val="0"/>
      <w:marRight w:val="0"/>
      <w:marTop w:val="0"/>
      <w:marBottom w:val="0"/>
      <w:divBdr>
        <w:top w:val="none" w:sz="0" w:space="0" w:color="auto"/>
        <w:left w:val="none" w:sz="0" w:space="0" w:color="auto"/>
        <w:bottom w:val="none" w:sz="0" w:space="0" w:color="auto"/>
        <w:right w:val="none" w:sz="0" w:space="0" w:color="auto"/>
      </w:divBdr>
    </w:div>
    <w:div w:id="1148279229">
      <w:bodyDiv w:val="1"/>
      <w:marLeft w:val="0"/>
      <w:marRight w:val="0"/>
      <w:marTop w:val="0"/>
      <w:marBottom w:val="0"/>
      <w:divBdr>
        <w:top w:val="none" w:sz="0" w:space="0" w:color="auto"/>
        <w:left w:val="none" w:sz="0" w:space="0" w:color="auto"/>
        <w:bottom w:val="none" w:sz="0" w:space="0" w:color="auto"/>
        <w:right w:val="none" w:sz="0" w:space="0" w:color="auto"/>
      </w:divBdr>
    </w:div>
    <w:div w:id="1319572855">
      <w:bodyDiv w:val="1"/>
      <w:marLeft w:val="0"/>
      <w:marRight w:val="0"/>
      <w:marTop w:val="0"/>
      <w:marBottom w:val="0"/>
      <w:divBdr>
        <w:top w:val="none" w:sz="0" w:space="0" w:color="auto"/>
        <w:left w:val="none" w:sz="0" w:space="0" w:color="auto"/>
        <w:bottom w:val="none" w:sz="0" w:space="0" w:color="auto"/>
        <w:right w:val="none" w:sz="0" w:space="0" w:color="auto"/>
      </w:divBdr>
    </w:div>
    <w:div w:id="1409814731">
      <w:bodyDiv w:val="1"/>
      <w:marLeft w:val="0"/>
      <w:marRight w:val="0"/>
      <w:marTop w:val="0"/>
      <w:marBottom w:val="0"/>
      <w:divBdr>
        <w:top w:val="none" w:sz="0" w:space="0" w:color="auto"/>
        <w:left w:val="none" w:sz="0" w:space="0" w:color="auto"/>
        <w:bottom w:val="none" w:sz="0" w:space="0" w:color="auto"/>
        <w:right w:val="none" w:sz="0" w:space="0" w:color="auto"/>
      </w:divBdr>
    </w:div>
    <w:div w:id="1612937762">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 w:id="2000115645">
      <w:bodyDiv w:val="1"/>
      <w:marLeft w:val="0"/>
      <w:marRight w:val="0"/>
      <w:marTop w:val="0"/>
      <w:marBottom w:val="0"/>
      <w:divBdr>
        <w:top w:val="none" w:sz="0" w:space="0" w:color="auto"/>
        <w:left w:val="none" w:sz="0" w:space="0" w:color="auto"/>
        <w:bottom w:val="none" w:sz="0" w:space="0" w:color="auto"/>
        <w:right w:val="none" w:sz="0" w:space="0" w:color="auto"/>
      </w:divBdr>
    </w:div>
    <w:div w:id="214323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C0B81-63F6-45B6-B45D-60F843FB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3</Pages>
  <Words>992</Words>
  <Characters>5357</Characters>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2015-02-24T14:27:00Z</cp:lastPrinted>
  <dcterms:created xsi:type="dcterms:W3CDTF">2020-11-13T19:01:00Z</dcterms:created>
  <dcterms:modified xsi:type="dcterms:W3CDTF">2021-08-14T02:04:00Z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