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0225B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712EB6F" w14:textId="77777777" w:rsidR="00BE065D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BDEA3CA" w14:textId="77777777" w:rsidR="00BE065D" w:rsidRPr="00C03878" w:rsidRDefault="00BE065D" w:rsidP="00A05274">
      <w:pPr>
        <w:autoSpaceDE w:val="0"/>
        <w:autoSpaceDN w:val="0"/>
        <w:adjustRightInd w:val="0"/>
        <w:rPr>
          <w:bCs/>
          <w:color w:val="000000"/>
        </w:rPr>
      </w:pPr>
    </w:p>
    <w:p w14:paraId="44E38348" w14:textId="759734F2" w:rsidR="00C37E03" w:rsidRPr="00C37E03" w:rsidRDefault="00C37E03" w:rsidP="00C37E03">
      <w:pPr>
        <w:ind w:firstLine="1418"/>
        <w:jc w:val="both"/>
        <w:rPr>
          <w:rFonts w:eastAsia="Calibri"/>
          <w:lang w:eastAsia="en-US"/>
        </w:rPr>
      </w:pPr>
      <w:r w:rsidRPr="00C37E03">
        <w:rPr>
          <w:rFonts w:eastAsia="Calibri"/>
          <w:lang w:eastAsia="en-US"/>
        </w:rPr>
        <w:t xml:space="preserve">Porto Alegre foi um dos municípios brasileiros pioneiros a vedar a prática do nepotismo. Antes mesmo da </w:t>
      </w:r>
      <w:r w:rsidR="005C1147">
        <w:rPr>
          <w:rFonts w:eastAsia="Calibri"/>
          <w:lang w:eastAsia="en-US"/>
        </w:rPr>
        <w:t>decisão do</w:t>
      </w:r>
      <w:r w:rsidRPr="00C37E03">
        <w:rPr>
          <w:rFonts w:eastAsia="Calibri"/>
          <w:lang w:eastAsia="en-US"/>
        </w:rPr>
        <w:t xml:space="preserve"> Supremo Tribunal Federal (STF)</w:t>
      </w:r>
      <w:r w:rsidR="005C1147">
        <w:rPr>
          <w:rFonts w:eastAsia="Calibri"/>
          <w:lang w:eastAsia="en-US"/>
        </w:rPr>
        <w:t>, que originou a</w:t>
      </w:r>
      <w:r w:rsidRPr="00C37E03">
        <w:rPr>
          <w:rFonts w:eastAsia="Calibri"/>
          <w:lang w:eastAsia="en-US"/>
        </w:rPr>
        <w:t xml:space="preserve"> Súmula Vinculante n° 13, a partir de Projeto de Emenda à Lei Orgânica Municipal de minha autoria, amplamente debatida e aprovada em dois turnos</w:t>
      </w:r>
      <w:r w:rsidR="005C1147">
        <w:rPr>
          <w:rFonts w:eastAsia="Calibri"/>
          <w:lang w:eastAsia="en-US"/>
        </w:rPr>
        <w:t xml:space="preserve"> e</w:t>
      </w:r>
      <w:r w:rsidRPr="00C37E03">
        <w:rPr>
          <w:rFonts w:eastAsia="Calibri"/>
          <w:lang w:eastAsia="en-US"/>
        </w:rPr>
        <w:t xml:space="preserve"> por dois terços</w:t>
      </w:r>
      <w:r w:rsidR="005C1147">
        <w:rPr>
          <w:rFonts w:eastAsia="Calibri"/>
          <w:lang w:eastAsia="en-US"/>
        </w:rPr>
        <w:t xml:space="preserve"> dos membros</w:t>
      </w:r>
      <w:r w:rsidRPr="00C37E03">
        <w:rPr>
          <w:rFonts w:eastAsia="Calibri"/>
          <w:lang w:eastAsia="en-US"/>
        </w:rPr>
        <w:t xml:space="preserve"> desta Casa Legislativa, estabelecemos uma grande conquista à sociedade</w:t>
      </w:r>
      <w:r w:rsidR="005C1147">
        <w:rPr>
          <w:rFonts w:eastAsia="Calibri"/>
          <w:lang w:eastAsia="en-US"/>
        </w:rPr>
        <w:t>,</w:t>
      </w:r>
      <w:r w:rsidRPr="00C37E03">
        <w:rPr>
          <w:rFonts w:eastAsia="Calibri"/>
          <w:lang w:eastAsia="en-US"/>
        </w:rPr>
        <w:t xml:space="preserve"> enfrentando privilégios familiares na Administração Pública Municipal. A luta histórica pela ética e transparência</w:t>
      </w:r>
      <w:r w:rsidR="005C1147">
        <w:rPr>
          <w:rFonts w:eastAsia="Calibri"/>
          <w:lang w:eastAsia="en-US"/>
        </w:rPr>
        <w:t>,</w:t>
      </w:r>
      <w:r w:rsidRPr="00C37E03">
        <w:rPr>
          <w:rFonts w:eastAsia="Calibri"/>
          <w:lang w:eastAsia="en-US"/>
        </w:rPr>
        <w:t xml:space="preserve"> naquele momento</w:t>
      </w:r>
      <w:r w:rsidR="005C1147">
        <w:rPr>
          <w:rFonts w:eastAsia="Calibri"/>
          <w:lang w:eastAsia="en-US"/>
        </w:rPr>
        <w:t>,</w:t>
      </w:r>
      <w:r w:rsidRPr="00C37E03">
        <w:rPr>
          <w:rFonts w:eastAsia="Calibri"/>
          <w:lang w:eastAsia="en-US"/>
        </w:rPr>
        <w:t xml:space="preserve"> venceu.</w:t>
      </w:r>
    </w:p>
    <w:p w14:paraId="67303034" w14:textId="41C007B6" w:rsidR="00C37E03" w:rsidRPr="00C37E03" w:rsidRDefault="00C37E03" w:rsidP="00A05274">
      <w:pPr>
        <w:jc w:val="both"/>
        <w:rPr>
          <w:rFonts w:eastAsia="Calibri"/>
          <w:lang w:eastAsia="en-US"/>
        </w:rPr>
      </w:pPr>
    </w:p>
    <w:p w14:paraId="3EB62CEF" w14:textId="0BC9487B" w:rsidR="00C37E03" w:rsidRPr="00A05274" w:rsidRDefault="00C37E03" w:rsidP="005C1147">
      <w:pPr>
        <w:ind w:firstLine="1418"/>
        <w:jc w:val="both"/>
      </w:pPr>
      <w:r w:rsidRPr="00C37E03">
        <w:rPr>
          <w:rFonts w:eastAsia="Calibri"/>
          <w:lang w:eastAsia="en-US"/>
        </w:rPr>
        <w:t>Porém, 15 anos após a promulgação da Emenda à Lei Orgânica n° 23</w:t>
      </w:r>
      <w:r w:rsidR="005C1147">
        <w:rPr>
          <w:rFonts w:eastAsia="Calibri"/>
          <w:lang w:eastAsia="en-US"/>
        </w:rPr>
        <w:t xml:space="preserve">, de 26 de junho de </w:t>
      </w:r>
      <w:r w:rsidRPr="00C37E03">
        <w:rPr>
          <w:rFonts w:eastAsia="Calibri"/>
          <w:lang w:eastAsia="en-US"/>
        </w:rPr>
        <w:t>2006</w:t>
      </w:r>
      <w:r w:rsidR="005C1147">
        <w:t xml:space="preserve">, </w:t>
      </w:r>
      <w:r w:rsidRPr="00C37E03">
        <w:rPr>
          <w:rFonts w:eastAsia="Calibri"/>
          <w:lang w:eastAsia="en-US"/>
        </w:rPr>
        <w:t>Porto Alegre ainda encontra dificuldades para a correta aplicação da legislação em questão. Tais percalços vêm de interpretações que buscam manter os mesmos privilégios sob a ótica do chamado transnepotismo. </w:t>
      </w:r>
    </w:p>
    <w:p w14:paraId="6DE691D5" w14:textId="77777777" w:rsidR="00C37E03" w:rsidRPr="00C37E03" w:rsidRDefault="00C37E03" w:rsidP="00C37E03">
      <w:pPr>
        <w:ind w:firstLine="1418"/>
        <w:jc w:val="both"/>
        <w:rPr>
          <w:rFonts w:eastAsia="Calibri"/>
          <w:lang w:eastAsia="en-US"/>
        </w:rPr>
      </w:pPr>
      <w:r w:rsidRPr="00C37E03">
        <w:rPr>
          <w:rFonts w:eastAsia="Calibri"/>
          <w:lang w:eastAsia="en-US"/>
        </w:rPr>
        <w:t> </w:t>
      </w:r>
    </w:p>
    <w:p w14:paraId="41757D62" w14:textId="3343FB49" w:rsidR="00C37E03" w:rsidRPr="00C37E03" w:rsidRDefault="00C37E03" w:rsidP="00C37E03">
      <w:pPr>
        <w:ind w:firstLine="1418"/>
        <w:jc w:val="both"/>
        <w:rPr>
          <w:rFonts w:eastAsia="Calibri"/>
          <w:lang w:eastAsia="en-US"/>
        </w:rPr>
      </w:pPr>
      <w:r w:rsidRPr="00C37E03">
        <w:rPr>
          <w:rFonts w:eastAsia="Calibri"/>
          <w:lang w:eastAsia="en-US"/>
        </w:rPr>
        <w:t xml:space="preserve">O transnepotismo se caracteriza por dois tipos de ações distintas. A primeira, é a troca simples e direta entre nomeações de parentes em diferentes esferas. Ocorre quando, no caso do </w:t>
      </w:r>
      <w:r w:rsidR="005C1147">
        <w:rPr>
          <w:rFonts w:eastAsia="Calibri"/>
          <w:lang w:eastAsia="en-US"/>
        </w:rPr>
        <w:t>M</w:t>
      </w:r>
      <w:r w:rsidRPr="00C37E03">
        <w:rPr>
          <w:rFonts w:eastAsia="Calibri"/>
          <w:lang w:eastAsia="en-US"/>
        </w:rPr>
        <w:t xml:space="preserve">unicípio, o familiar de um vereador é nomeado para cargo em comissão no Poder Executivo ao mesmo tempo em que o familiar do prefeito, vice-prefeito, secretário municipal, presidente ou diretor de autarquias municipais é nomeado para cargo em comissão no Poder Legislativo. A segunda forma é a nomeação direta de familiares </w:t>
      </w:r>
      <w:r w:rsidR="005C1147">
        <w:rPr>
          <w:rFonts w:eastAsia="Calibri"/>
          <w:lang w:eastAsia="en-US"/>
        </w:rPr>
        <w:t xml:space="preserve">em </w:t>
      </w:r>
      <w:r w:rsidRPr="00C37E03">
        <w:rPr>
          <w:rFonts w:eastAsia="Calibri"/>
          <w:lang w:eastAsia="en-US"/>
        </w:rPr>
        <w:t xml:space="preserve">uma das esferas em troca de apoio político. Geralmente, nesse caso, </w:t>
      </w:r>
      <w:r w:rsidR="005C1147">
        <w:rPr>
          <w:rFonts w:eastAsia="Calibri"/>
          <w:lang w:eastAsia="en-US"/>
        </w:rPr>
        <w:t xml:space="preserve">é </w:t>
      </w:r>
      <w:r w:rsidRPr="00C37E03">
        <w:rPr>
          <w:rFonts w:eastAsia="Calibri"/>
          <w:lang w:eastAsia="en-US"/>
        </w:rPr>
        <w:t xml:space="preserve">executada pelo Poder Executivo em relação </w:t>
      </w:r>
      <w:r w:rsidR="005C1147">
        <w:rPr>
          <w:rFonts w:eastAsia="Calibri"/>
          <w:lang w:eastAsia="en-US"/>
        </w:rPr>
        <w:t>a</w:t>
      </w:r>
      <w:r w:rsidRPr="00C37E03">
        <w:rPr>
          <w:rFonts w:eastAsia="Calibri"/>
          <w:lang w:eastAsia="en-US"/>
        </w:rPr>
        <w:t xml:space="preserve"> familiares de parlamentares do Poder Legislativo como forma de obter apoio do</w:t>
      </w:r>
      <w:r w:rsidR="00FD0148">
        <w:rPr>
          <w:rFonts w:eastAsia="Calibri"/>
          <w:lang w:eastAsia="en-US"/>
        </w:rPr>
        <w:t>s</w:t>
      </w:r>
      <w:r w:rsidRPr="00C37E03">
        <w:rPr>
          <w:rFonts w:eastAsia="Calibri"/>
          <w:lang w:eastAsia="en-US"/>
        </w:rPr>
        <w:t xml:space="preserve"> mesmo</w:t>
      </w:r>
      <w:r w:rsidR="00FD0148">
        <w:rPr>
          <w:rFonts w:eastAsia="Calibri"/>
          <w:lang w:eastAsia="en-US"/>
        </w:rPr>
        <w:t>s</w:t>
      </w:r>
      <w:r w:rsidRPr="00C37E03">
        <w:rPr>
          <w:rFonts w:eastAsia="Calibri"/>
          <w:lang w:eastAsia="en-US"/>
        </w:rPr>
        <w:t xml:space="preserve"> na aprovação de matérias de interesse do prefeito, vice-prefeito e seus subordinados.</w:t>
      </w:r>
    </w:p>
    <w:p w14:paraId="5357ECBF" w14:textId="77777777" w:rsidR="00C37E03" w:rsidRPr="00C37E03" w:rsidRDefault="00C37E03" w:rsidP="00C37E03">
      <w:pPr>
        <w:ind w:firstLine="1418"/>
        <w:jc w:val="both"/>
        <w:rPr>
          <w:rFonts w:eastAsia="Calibri"/>
          <w:lang w:eastAsia="en-US"/>
        </w:rPr>
      </w:pPr>
      <w:r w:rsidRPr="00C37E03">
        <w:rPr>
          <w:rFonts w:eastAsia="Calibri"/>
          <w:lang w:eastAsia="en-US"/>
        </w:rPr>
        <w:t> </w:t>
      </w:r>
    </w:p>
    <w:p w14:paraId="6F22348D" w14:textId="520C002D" w:rsidR="00C37E03" w:rsidRPr="00C37E03" w:rsidRDefault="00C37E03" w:rsidP="00C37E03">
      <w:pPr>
        <w:ind w:firstLine="1418"/>
        <w:jc w:val="both"/>
        <w:rPr>
          <w:rFonts w:eastAsia="Calibri"/>
          <w:lang w:eastAsia="en-US"/>
        </w:rPr>
      </w:pPr>
      <w:r w:rsidRPr="00C37E03">
        <w:rPr>
          <w:rFonts w:eastAsia="Calibri"/>
          <w:lang w:eastAsia="en-US"/>
        </w:rPr>
        <w:t>Tal prática afronta diretamente o art. 37 da Constituição Federal (CF), o qual determina: </w:t>
      </w:r>
    </w:p>
    <w:p w14:paraId="0E46E4E9" w14:textId="77777777" w:rsidR="00C37E03" w:rsidRPr="00C37E03" w:rsidRDefault="00C37E03" w:rsidP="00C37E03">
      <w:pPr>
        <w:ind w:firstLine="1418"/>
        <w:jc w:val="both"/>
        <w:rPr>
          <w:rFonts w:eastAsia="Calibri"/>
          <w:lang w:eastAsia="en-US"/>
        </w:rPr>
      </w:pPr>
      <w:r w:rsidRPr="00C37E03">
        <w:rPr>
          <w:rFonts w:eastAsia="Calibri"/>
          <w:lang w:eastAsia="en-US"/>
        </w:rPr>
        <w:t> </w:t>
      </w:r>
    </w:p>
    <w:p w14:paraId="50C87079" w14:textId="421B7563" w:rsidR="00C37E03" w:rsidRPr="00A05274" w:rsidRDefault="00C37E03" w:rsidP="00C37E03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A05274">
        <w:rPr>
          <w:rFonts w:eastAsia="Calibri"/>
          <w:sz w:val="20"/>
          <w:szCs w:val="20"/>
          <w:lang w:eastAsia="en-US"/>
        </w:rPr>
        <w:t>Art. 37. A administração pública direta e indireta de qualquer dos Poderes da União, dos Estados, do Distrito Federal e dos Municípios obedecerá aos princípios de legalidade, impessoalidade, moralidade, publicidade e eficiência e, também, ao seguinte: (...)</w:t>
      </w:r>
    </w:p>
    <w:p w14:paraId="348FA3C8" w14:textId="77777777" w:rsidR="00C37E03" w:rsidRPr="00C37E03" w:rsidRDefault="00C37E03" w:rsidP="00C37E03">
      <w:pPr>
        <w:ind w:firstLine="1418"/>
        <w:jc w:val="both"/>
        <w:rPr>
          <w:rFonts w:eastAsia="Calibri"/>
          <w:lang w:eastAsia="en-US"/>
        </w:rPr>
      </w:pPr>
      <w:r w:rsidRPr="00C37E03">
        <w:rPr>
          <w:rFonts w:eastAsia="Calibri"/>
          <w:lang w:eastAsia="en-US"/>
        </w:rPr>
        <w:t> </w:t>
      </w:r>
    </w:p>
    <w:p w14:paraId="058AF09F" w14:textId="77777777" w:rsidR="00C37E03" w:rsidRPr="00C37E03" w:rsidRDefault="00C37E03" w:rsidP="00C37E03">
      <w:pPr>
        <w:ind w:firstLine="1418"/>
        <w:jc w:val="both"/>
        <w:rPr>
          <w:rFonts w:eastAsia="Calibri"/>
          <w:lang w:eastAsia="en-US"/>
        </w:rPr>
      </w:pPr>
      <w:r w:rsidRPr="00C37E03">
        <w:rPr>
          <w:rFonts w:eastAsia="Calibri"/>
          <w:lang w:eastAsia="en-US"/>
        </w:rPr>
        <w:t>Observa-se, portanto, a quebra dos princípios da impessoalidade e da moralidade. </w:t>
      </w:r>
    </w:p>
    <w:p w14:paraId="3E3DC9BF" w14:textId="77777777" w:rsidR="00C37E03" w:rsidRPr="00C37E03" w:rsidRDefault="00C37E03" w:rsidP="00C37E03">
      <w:pPr>
        <w:ind w:firstLine="1418"/>
        <w:jc w:val="both"/>
        <w:rPr>
          <w:rFonts w:eastAsia="Calibri"/>
          <w:lang w:eastAsia="en-US"/>
        </w:rPr>
      </w:pPr>
      <w:r w:rsidRPr="00C37E03">
        <w:rPr>
          <w:rFonts w:eastAsia="Calibri"/>
          <w:lang w:eastAsia="en-US"/>
        </w:rPr>
        <w:t> </w:t>
      </w:r>
    </w:p>
    <w:p w14:paraId="637170E3" w14:textId="06C5704A" w:rsidR="00C37E03" w:rsidRPr="00C37E03" w:rsidRDefault="00C37E03" w:rsidP="00C37E03">
      <w:pPr>
        <w:ind w:firstLine="1418"/>
        <w:jc w:val="both"/>
        <w:rPr>
          <w:rFonts w:eastAsia="Calibri"/>
          <w:lang w:eastAsia="en-US"/>
        </w:rPr>
      </w:pPr>
      <w:r w:rsidRPr="00C37E03">
        <w:rPr>
          <w:rFonts w:eastAsia="Calibri"/>
          <w:lang w:eastAsia="en-US"/>
        </w:rPr>
        <w:t>Há também um vasto conteúdo jurisprudencial sobre o tema. Cabe, no escopo des</w:t>
      </w:r>
      <w:r w:rsidR="00FD0148">
        <w:rPr>
          <w:rFonts w:eastAsia="Calibri"/>
          <w:lang w:eastAsia="en-US"/>
        </w:rPr>
        <w:t>t</w:t>
      </w:r>
      <w:r w:rsidRPr="00C37E03">
        <w:rPr>
          <w:rFonts w:eastAsia="Calibri"/>
          <w:lang w:eastAsia="en-US"/>
        </w:rPr>
        <w:t xml:space="preserve">a </w:t>
      </w:r>
      <w:r w:rsidR="005C1147">
        <w:rPr>
          <w:rFonts w:eastAsia="Calibri"/>
          <w:lang w:eastAsia="en-US"/>
        </w:rPr>
        <w:t>P</w:t>
      </w:r>
      <w:r w:rsidRPr="00C37E03">
        <w:rPr>
          <w:rFonts w:eastAsia="Calibri"/>
          <w:lang w:eastAsia="en-US"/>
        </w:rPr>
        <w:t>roposição, registrar ao menos um deles.</w:t>
      </w:r>
    </w:p>
    <w:p w14:paraId="12049FC4" w14:textId="77777777" w:rsidR="00C37E03" w:rsidRPr="00C37E03" w:rsidRDefault="00C37E03" w:rsidP="00C37E03">
      <w:pPr>
        <w:ind w:firstLine="1418"/>
        <w:jc w:val="both"/>
        <w:rPr>
          <w:rFonts w:eastAsia="Calibri"/>
          <w:lang w:eastAsia="en-US"/>
        </w:rPr>
      </w:pPr>
      <w:r w:rsidRPr="00C37E03">
        <w:rPr>
          <w:rFonts w:eastAsia="Calibri"/>
          <w:lang w:eastAsia="en-US"/>
        </w:rPr>
        <w:t> </w:t>
      </w:r>
    </w:p>
    <w:p w14:paraId="5671D9E0" w14:textId="5F717DF4" w:rsidR="00C37E03" w:rsidRPr="00C37E03" w:rsidRDefault="00C37E03" w:rsidP="00C37E03">
      <w:pPr>
        <w:ind w:firstLine="1418"/>
        <w:jc w:val="both"/>
        <w:rPr>
          <w:rFonts w:eastAsia="Calibri"/>
          <w:lang w:eastAsia="en-US"/>
        </w:rPr>
      </w:pPr>
      <w:r w:rsidRPr="00C37E03">
        <w:rPr>
          <w:rFonts w:eastAsia="Calibri"/>
          <w:lang w:eastAsia="en-US"/>
        </w:rPr>
        <w:t>Na R</w:t>
      </w:r>
      <w:r w:rsidR="003C4082">
        <w:rPr>
          <w:rFonts w:eastAsia="Calibri"/>
          <w:lang w:eastAsia="en-US"/>
        </w:rPr>
        <w:t xml:space="preserve">eclamação nº </w:t>
      </w:r>
      <w:r w:rsidRPr="00C37E03">
        <w:rPr>
          <w:rFonts w:eastAsia="Calibri"/>
          <w:lang w:eastAsia="en-US"/>
        </w:rPr>
        <w:t>26.448, o Ministro do STF Edson Fachin, em decisão monocrática, afirma que a Súmula não autoriza interpretação segundo a qual a designação de parentes para cargos políticos é imune ao princípio constitucional da impessoalidade:</w:t>
      </w:r>
    </w:p>
    <w:p w14:paraId="68C03EA3" w14:textId="77777777" w:rsidR="00C37E03" w:rsidRPr="00C37E03" w:rsidRDefault="00C37E03" w:rsidP="00C37E03">
      <w:pPr>
        <w:ind w:firstLine="1418"/>
        <w:jc w:val="both"/>
        <w:rPr>
          <w:rFonts w:eastAsia="Calibri"/>
          <w:lang w:eastAsia="en-US"/>
        </w:rPr>
      </w:pPr>
      <w:r w:rsidRPr="00C37E03">
        <w:rPr>
          <w:rFonts w:eastAsia="Calibri"/>
          <w:lang w:eastAsia="en-US"/>
        </w:rPr>
        <w:t> </w:t>
      </w:r>
    </w:p>
    <w:p w14:paraId="322FF25F" w14:textId="1FF9E6E3" w:rsidR="00C37E03" w:rsidRPr="00A05274" w:rsidRDefault="00C37E03" w:rsidP="00C37E03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A05274">
        <w:rPr>
          <w:rFonts w:eastAsia="Calibri"/>
          <w:sz w:val="20"/>
          <w:szCs w:val="20"/>
          <w:lang w:eastAsia="en-US"/>
        </w:rPr>
        <w:t xml:space="preserve">A Reclamada e as partes beneficiadas sustentam, no mérito, (...) que (...) foram nomeados para cargo de natureza política, em face do qual não se aplicaria a Súmula Vinculante 13. (...) Em que pesem as decisões do Tribunal excepcionando a sua incidência a cargos de natureza política, a orientação que emerge dos debates da aprovação da Súmula, assim como dos precedentes que lhe deram origem, não autoriza a interpretação segundo a qual </w:t>
      </w:r>
      <w:r w:rsidRPr="00A05274">
        <w:rPr>
          <w:rFonts w:eastAsia="Calibri"/>
          <w:sz w:val="20"/>
          <w:szCs w:val="20"/>
          <w:lang w:eastAsia="en-US"/>
        </w:rPr>
        <w:lastRenderedPageBreak/>
        <w:t>a designação de parentes para cargo de natureza política é imune ao princípio da impessoalidade. Noutras palavras, cargos políticos também estão abrangidos pela Súmula Vinculante. Essa conclusão decorre dos próprios fundamentos pelos quais o Tribunal reconheceu na proibição de nepotismo uma zona de certeza dos princípios da moralidade, da impessoalidade e da eficiência. (...) A interpretação que excepciona da incidência da Súmula Vinculante os cargos de natureza política não encontra, portanto, amparo na Constituição. </w:t>
      </w:r>
    </w:p>
    <w:p w14:paraId="7471E35A" w14:textId="511B65DC" w:rsidR="00C37E03" w:rsidRPr="00A05274" w:rsidRDefault="00C37E03" w:rsidP="00C37E03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A05274">
        <w:rPr>
          <w:rFonts w:eastAsia="Calibri"/>
          <w:sz w:val="20"/>
          <w:szCs w:val="20"/>
          <w:lang w:eastAsia="en-US"/>
        </w:rPr>
        <w:t>[Rcl 26.448, rel. min. Edson Fachin, dec. monocrática, j. 12-9-2019, DJE 201 de 17-9-2019.]</w:t>
      </w:r>
    </w:p>
    <w:p w14:paraId="502BE06A" w14:textId="77777777" w:rsidR="00C37E03" w:rsidRPr="00C37E03" w:rsidRDefault="00C37E03" w:rsidP="00C37E03">
      <w:pPr>
        <w:ind w:firstLine="1418"/>
        <w:jc w:val="both"/>
        <w:rPr>
          <w:rFonts w:eastAsia="Calibri"/>
          <w:lang w:eastAsia="en-US"/>
        </w:rPr>
      </w:pPr>
      <w:r w:rsidRPr="00C37E03">
        <w:rPr>
          <w:rFonts w:eastAsia="Calibri"/>
          <w:lang w:eastAsia="en-US"/>
        </w:rPr>
        <w:t> </w:t>
      </w:r>
    </w:p>
    <w:p w14:paraId="3E4D31ED" w14:textId="28FA57B0" w:rsidR="00C37E03" w:rsidRPr="00C37E03" w:rsidRDefault="00C37E03" w:rsidP="00C37E03">
      <w:pPr>
        <w:ind w:firstLine="1418"/>
        <w:jc w:val="both"/>
        <w:rPr>
          <w:rFonts w:eastAsia="Calibri"/>
          <w:lang w:eastAsia="en-US"/>
        </w:rPr>
      </w:pPr>
      <w:r w:rsidRPr="00C37E03">
        <w:rPr>
          <w:rFonts w:eastAsia="Calibri"/>
          <w:lang w:eastAsia="en-US"/>
        </w:rPr>
        <w:t xml:space="preserve">Entende-se na decisão que, </w:t>
      </w:r>
      <w:r w:rsidR="00FD0148">
        <w:rPr>
          <w:rFonts w:eastAsia="Calibri"/>
          <w:lang w:eastAsia="en-US"/>
        </w:rPr>
        <w:t>por meio</w:t>
      </w:r>
      <w:r w:rsidRPr="00C37E03">
        <w:rPr>
          <w:rFonts w:eastAsia="Calibri"/>
          <w:lang w:eastAsia="en-US"/>
        </w:rPr>
        <w:t xml:space="preserve"> de interpretações errôneas, busca-se</w:t>
      </w:r>
      <w:r w:rsidR="003C4082">
        <w:rPr>
          <w:rFonts w:eastAsia="Calibri"/>
          <w:lang w:eastAsia="en-US"/>
        </w:rPr>
        <w:t>,</w:t>
      </w:r>
      <w:r w:rsidRPr="00C37E03">
        <w:rPr>
          <w:rFonts w:eastAsia="Calibri"/>
          <w:lang w:eastAsia="en-US"/>
        </w:rPr>
        <w:t xml:space="preserve"> em muitos casos</w:t>
      </w:r>
      <w:r w:rsidR="003C4082">
        <w:rPr>
          <w:rFonts w:eastAsia="Calibri"/>
          <w:lang w:eastAsia="en-US"/>
        </w:rPr>
        <w:t>,</w:t>
      </w:r>
      <w:r w:rsidRPr="00C37E03">
        <w:rPr>
          <w:rFonts w:eastAsia="Calibri"/>
          <w:lang w:eastAsia="en-US"/>
        </w:rPr>
        <w:t xml:space="preserve"> a transgressão dos princípios da CF e da própria Súmula Vinculante emitida pelo STF. Busca-se, a partir de tais interpretações, descaracterizar a prática do nepotismo também como uma possível troca de favores entre mandatários de diferentes esferas da </w:t>
      </w:r>
      <w:r w:rsidR="003C4082">
        <w:rPr>
          <w:rFonts w:eastAsia="Calibri"/>
          <w:lang w:eastAsia="en-US"/>
        </w:rPr>
        <w:t>a</w:t>
      </w:r>
      <w:r w:rsidRPr="00C37E03">
        <w:rPr>
          <w:rFonts w:eastAsia="Calibri"/>
          <w:lang w:eastAsia="en-US"/>
        </w:rPr>
        <w:t xml:space="preserve">dministração </w:t>
      </w:r>
      <w:r w:rsidR="003C4082">
        <w:rPr>
          <w:rFonts w:eastAsia="Calibri"/>
          <w:lang w:eastAsia="en-US"/>
        </w:rPr>
        <w:t>p</w:t>
      </w:r>
      <w:r w:rsidRPr="00C37E03">
        <w:rPr>
          <w:rFonts w:eastAsia="Calibri"/>
          <w:lang w:eastAsia="en-US"/>
        </w:rPr>
        <w:t>ública.</w:t>
      </w:r>
    </w:p>
    <w:p w14:paraId="32812EC2" w14:textId="77777777" w:rsidR="00C37E03" w:rsidRPr="00C37E03" w:rsidRDefault="00C37E03" w:rsidP="00C37E03">
      <w:pPr>
        <w:ind w:firstLine="1418"/>
        <w:jc w:val="both"/>
        <w:rPr>
          <w:rFonts w:eastAsia="Calibri"/>
          <w:lang w:eastAsia="en-US"/>
        </w:rPr>
      </w:pPr>
      <w:r w:rsidRPr="00C37E03">
        <w:rPr>
          <w:rFonts w:eastAsia="Calibri"/>
          <w:lang w:eastAsia="en-US"/>
        </w:rPr>
        <w:t> </w:t>
      </w:r>
    </w:p>
    <w:p w14:paraId="20EBA444" w14:textId="65580A6A" w:rsidR="00C37E03" w:rsidRPr="00C37E03" w:rsidRDefault="00ED3133" w:rsidP="00C37E03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Em </w:t>
      </w:r>
      <w:r w:rsidR="00C37E03" w:rsidRPr="00C37E03">
        <w:rPr>
          <w:rFonts w:eastAsia="Calibri"/>
          <w:lang w:eastAsia="en-US"/>
        </w:rPr>
        <w:t>Porto Alegre, a troca de nomeações para cargos em comissão</w:t>
      </w:r>
      <w:r w:rsidR="003C4082">
        <w:rPr>
          <w:rFonts w:eastAsia="Calibri"/>
          <w:lang w:eastAsia="en-US"/>
        </w:rPr>
        <w:t>, motivada</w:t>
      </w:r>
      <w:r w:rsidR="00C37E03" w:rsidRPr="00C37E03">
        <w:rPr>
          <w:rFonts w:eastAsia="Calibri"/>
          <w:lang w:eastAsia="en-US"/>
        </w:rPr>
        <w:t xml:space="preserve"> por apoio político</w:t>
      </w:r>
      <w:r w:rsidR="003C4082">
        <w:rPr>
          <w:rFonts w:eastAsia="Calibri"/>
          <w:lang w:eastAsia="en-US"/>
        </w:rPr>
        <w:t>,</w:t>
      </w:r>
      <w:r w:rsidR="00C37E03" w:rsidRPr="00C37E03">
        <w:rPr>
          <w:rFonts w:eastAsia="Calibri"/>
          <w:lang w:eastAsia="en-US"/>
        </w:rPr>
        <w:t xml:space="preserve"> vem sendo uma prática em 2021. Recentemente, em 15 de abril do ano corrente, o portal de notícias G</w:t>
      </w:r>
      <w:r w:rsidR="003C4082">
        <w:rPr>
          <w:rFonts w:eastAsia="Calibri"/>
          <w:lang w:eastAsia="en-US"/>
        </w:rPr>
        <w:t xml:space="preserve">aúcha </w:t>
      </w:r>
      <w:r w:rsidR="00C37E03" w:rsidRPr="00C37E03">
        <w:rPr>
          <w:rFonts w:eastAsia="Calibri"/>
          <w:lang w:eastAsia="en-US"/>
        </w:rPr>
        <w:t>ZH noticiou a prática de contratação, pelo Poder Executivo, de familiares de integrantes do Poder Legislativo para cargos em comissão de livre nomeação. Uma evidente troca de favores</w:t>
      </w:r>
      <w:r w:rsidR="003C4082">
        <w:rPr>
          <w:rFonts w:eastAsia="Calibri"/>
          <w:lang w:eastAsia="en-US"/>
        </w:rPr>
        <w:t>,</w:t>
      </w:r>
      <w:r w:rsidR="00C37E03" w:rsidRPr="00C37E03">
        <w:rPr>
          <w:rFonts w:eastAsia="Calibri"/>
          <w:lang w:eastAsia="en-US"/>
        </w:rPr>
        <w:t xml:space="preserve"> privilegiando diretamente familiares de vereadores. Ainda, a mesma reportagem informa o privilégio familiar dado, pelo atual mandatário no Paço Municipal, </w:t>
      </w:r>
      <w:r w:rsidR="003C4082">
        <w:rPr>
          <w:rFonts w:eastAsia="Calibri"/>
          <w:lang w:eastAsia="en-US"/>
        </w:rPr>
        <w:t>a</w:t>
      </w:r>
      <w:r w:rsidR="00C37E03" w:rsidRPr="00C37E03">
        <w:rPr>
          <w:rFonts w:eastAsia="Calibri"/>
          <w:lang w:eastAsia="en-US"/>
        </w:rPr>
        <w:t xml:space="preserve"> deputado estadual e</w:t>
      </w:r>
      <w:r w:rsidR="00FD0148">
        <w:rPr>
          <w:rFonts w:eastAsia="Calibri"/>
          <w:lang w:eastAsia="en-US"/>
        </w:rPr>
        <w:t xml:space="preserve"> a</w:t>
      </w:r>
      <w:r w:rsidR="00C37E03" w:rsidRPr="00C37E03">
        <w:rPr>
          <w:rFonts w:eastAsia="Calibri"/>
          <w:lang w:eastAsia="en-US"/>
        </w:rPr>
        <w:t xml:space="preserve"> deputado federal a partir da nomeação de filhos dos mesmos por prática idêntica. Há que se re</w:t>
      </w:r>
      <w:r w:rsidR="00FD0148">
        <w:rPr>
          <w:rFonts w:eastAsia="Calibri"/>
          <w:lang w:eastAsia="en-US"/>
        </w:rPr>
        <w:t>s</w:t>
      </w:r>
      <w:r w:rsidR="00C37E03" w:rsidRPr="00C37E03">
        <w:rPr>
          <w:rFonts w:eastAsia="Calibri"/>
          <w:lang w:eastAsia="en-US"/>
        </w:rPr>
        <w:t>saltar a possibilidade de outros tantos casos não descritos pelo noticioso.</w:t>
      </w:r>
    </w:p>
    <w:p w14:paraId="0B098BBD" w14:textId="77777777" w:rsidR="00C37E03" w:rsidRPr="00C37E03" w:rsidRDefault="00C37E03" w:rsidP="00C37E03">
      <w:pPr>
        <w:ind w:firstLine="1418"/>
        <w:jc w:val="both"/>
        <w:rPr>
          <w:rFonts w:eastAsia="Calibri"/>
          <w:lang w:eastAsia="en-US"/>
        </w:rPr>
      </w:pPr>
      <w:r w:rsidRPr="00C37E03">
        <w:rPr>
          <w:rFonts w:eastAsia="Calibri"/>
          <w:lang w:eastAsia="en-US"/>
        </w:rPr>
        <w:t> </w:t>
      </w:r>
    </w:p>
    <w:p w14:paraId="08428CA2" w14:textId="6A4DAE3B" w:rsidR="00C37E03" w:rsidRPr="00C37E03" w:rsidRDefault="00C37E03" w:rsidP="00C37E03">
      <w:pPr>
        <w:ind w:firstLine="1418"/>
        <w:jc w:val="both"/>
        <w:rPr>
          <w:rFonts w:eastAsia="Calibri"/>
          <w:lang w:eastAsia="en-US"/>
        </w:rPr>
      </w:pPr>
      <w:r w:rsidRPr="00C37E03">
        <w:rPr>
          <w:rFonts w:eastAsia="Calibri"/>
          <w:lang w:eastAsia="en-US"/>
        </w:rPr>
        <w:t xml:space="preserve">A </w:t>
      </w:r>
      <w:r w:rsidR="003C4082">
        <w:rPr>
          <w:rFonts w:eastAsia="Calibri"/>
          <w:lang w:eastAsia="en-US"/>
        </w:rPr>
        <w:t>P</w:t>
      </w:r>
      <w:r w:rsidRPr="00C37E03">
        <w:rPr>
          <w:rFonts w:eastAsia="Calibri"/>
          <w:lang w:eastAsia="en-US"/>
        </w:rPr>
        <w:t>roposição que ora apresentamos tem por objetivo dirimir quaisquer dúvidas sobre a questão. A partir dela, estabelecemos um marco legal que não dará nenhuma vazão para interpretações ao vedar a prática do nepotismo, nepotismo cruzado e transnepotismo na Administração Pública Municipal. Não estamos, a partir d</w:t>
      </w:r>
      <w:r w:rsidR="003C4082">
        <w:rPr>
          <w:rFonts w:eastAsia="Calibri"/>
          <w:lang w:eastAsia="en-US"/>
        </w:rPr>
        <w:t>este</w:t>
      </w:r>
      <w:r w:rsidRPr="00C37E03">
        <w:rPr>
          <w:rFonts w:eastAsia="Calibri"/>
          <w:lang w:eastAsia="en-US"/>
        </w:rPr>
        <w:t xml:space="preserve"> </w:t>
      </w:r>
      <w:r w:rsidR="003C4082">
        <w:rPr>
          <w:rFonts w:eastAsia="Calibri"/>
          <w:lang w:eastAsia="en-US"/>
        </w:rPr>
        <w:t>P</w:t>
      </w:r>
      <w:r w:rsidRPr="00C37E03">
        <w:rPr>
          <w:rFonts w:eastAsia="Calibri"/>
          <w:lang w:eastAsia="en-US"/>
        </w:rPr>
        <w:t>rojeto, estabelecendo julgamentos a quem quer que seja, mas sobretudo defendendo a ética e a transparência na Administração, bem como os princípios previstos na Constituição Federal.</w:t>
      </w:r>
    </w:p>
    <w:p w14:paraId="7C19D473" w14:textId="77777777" w:rsidR="00C37E03" w:rsidRPr="00C37E03" w:rsidRDefault="00C37E03" w:rsidP="00C37E03">
      <w:pPr>
        <w:ind w:firstLine="1418"/>
        <w:jc w:val="both"/>
        <w:rPr>
          <w:rFonts w:eastAsia="Calibri"/>
          <w:lang w:eastAsia="en-US"/>
        </w:rPr>
      </w:pPr>
      <w:r w:rsidRPr="00C37E03">
        <w:rPr>
          <w:rFonts w:eastAsia="Calibri"/>
          <w:lang w:eastAsia="en-US"/>
        </w:rPr>
        <w:t> </w:t>
      </w:r>
    </w:p>
    <w:p w14:paraId="05F8496D" w14:textId="453869FE" w:rsidR="00C37E03" w:rsidRPr="00C37E03" w:rsidRDefault="00C37E03" w:rsidP="00C37E03">
      <w:pPr>
        <w:ind w:firstLine="1418"/>
        <w:jc w:val="both"/>
        <w:rPr>
          <w:rFonts w:eastAsia="Calibri"/>
          <w:lang w:eastAsia="en-US"/>
        </w:rPr>
      </w:pPr>
      <w:r w:rsidRPr="00C37E03">
        <w:rPr>
          <w:rFonts w:eastAsia="Calibri"/>
          <w:lang w:eastAsia="en-US"/>
        </w:rPr>
        <w:t xml:space="preserve">Não poderia este vereador, autor de uma das primeiras leis antinepotismo no </w:t>
      </w:r>
      <w:r w:rsidR="003C4082">
        <w:rPr>
          <w:rFonts w:eastAsia="Calibri"/>
          <w:lang w:eastAsia="en-US"/>
        </w:rPr>
        <w:t>P</w:t>
      </w:r>
      <w:r w:rsidRPr="00C37E03">
        <w:rPr>
          <w:rFonts w:eastAsia="Calibri"/>
          <w:lang w:eastAsia="en-US"/>
        </w:rPr>
        <w:t xml:space="preserve">aís, agir de maneira a manter interpretações diversas acerca da vedação desta prática. Ao contrário, é necessário coibir a naturalização de privilégios familiares e troca de favores na </w:t>
      </w:r>
      <w:r w:rsidR="003C4082">
        <w:rPr>
          <w:rFonts w:eastAsia="Calibri"/>
          <w:lang w:eastAsia="en-US"/>
        </w:rPr>
        <w:t>a</w:t>
      </w:r>
      <w:r w:rsidRPr="00C37E03">
        <w:rPr>
          <w:rFonts w:eastAsia="Calibri"/>
          <w:lang w:eastAsia="en-US"/>
        </w:rPr>
        <w:t xml:space="preserve">dministração </w:t>
      </w:r>
      <w:r w:rsidR="003C4082">
        <w:rPr>
          <w:rFonts w:eastAsia="Calibri"/>
          <w:lang w:eastAsia="en-US"/>
        </w:rPr>
        <w:t>p</w:t>
      </w:r>
      <w:r w:rsidRPr="00C37E03">
        <w:rPr>
          <w:rFonts w:eastAsia="Calibri"/>
          <w:lang w:eastAsia="en-US"/>
        </w:rPr>
        <w:t>ública. Interesses privados não podem e não devem se sobrepor ao interesse coletivo da sociedade. Saliento que sempre me pautei pelos princípios da ética e da transparência, sendo autor também dos projetos que culminaram com a instituição do Portal Transparência da Câmara Municipal</w:t>
      </w:r>
      <w:r w:rsidR="003C4082">
        <w:rPr>
          <w:rFonts w:eastAsia="Calibri"/>
          <w:lang w:eastAsia="en-US"/>
        </w:rPr>
        <w:t xml:space="preserve"> de Porto Alegre</w:t>
      </w:r>
      <w:r w:rsidRPr="00C37E03">
        <w:rPr>
          <w:rFonts w:eastAsia="Calibri"/>
          <w:lang w:eastAsia="en-US"/>
        </w:rPr>
        <w:t>, do Portal Transparência da Prefeitura Municipal de Porto Alegre e da proibição de nomeação de pessoas inelegíveis em razão de atos ilícitos para cargos em comissão na Administração Pública Municipal. </w:t>
      </w:r>
    </w:p>
    <w:p w14:paraId="212581A3" w14:textId="77777777" w:rsidR="00C37E03" w:rsidRPr="00C37E03" w:rsidRDefault="00C37E03" w:rsidP="00C37E03">
      <w:pPr>
        <w:ind w:firstLine="1418"/>
        <w:jc w:val="both"/>
        <w:rPr>
          <w:rFonts w:eastAsia="Calibri"/>
          <w:lang w:eastAsia="en-US"/>
        </w:rPr>
      </w:pPr>
      <w:r w:rsidRPr="00C37E03">
        <w:rPr>
          <w:rFonts w:eastAsia="Calibri"/>
          <w:lang w:eastAsia="en-US"/>
        </w:rPr>
        <w:t> </w:t>
      </w:r>
    </w:p>
    <w:p w14:paraId="7F467C63" w14:textId="619FD742" w:rsidR="00115D7B" w:rsidRDefault="00C37E03" w:rsidP="00C37E03">
      <w:pPr>
        <w:ind w:firstLine="1418"/>
        <w:jc w:val="both"/>
        <w:rPr>
          <w:rFonts w:eastAsia="Calibri"/>
          <w:lang w:eastAsia="en-US"/>
        </w:rPr>
      </w:pPr>
      <w:r w:rsidRPr="00C37E03">
        <w:rPr>
          <w:rFonts w:eastAsia="Calibri"/>
          <w:lang w:eastAsia="en-US"/>
        </w:rPr>
        <w:t xml:space="preserve">São essas as razões que nos levam a rogar aos </w:t>
      </w:r>
      <w:r w:rsidR="003C4082">
        <w:rPr>
          <w:rFonts w:eastAsia="Calibri"/>
          <w:lang w:eastAsia="en-US"/>
        </w:rPr>
        <w:t>n</w:t>
      </w:r>
      <w:r w:rsidRPr="00C37E03">
        <w:rPr>
          <w:rFonts w:eastAsia="Calibri"/>
          <w:lang w:eastAsia="en-US"/>
        </w:rPr>
        <w:t xml:space="preserve">obres </w:t>
      </w:r>
      <w:r w:rsidR="003C4082">
        <w:rPr>
          <w:rFonts w:eastAsia="Calibri"/>
          <w:lang w:eastAsia="en-US"/>
        </w:rPr>
        <w:t>p</w:t>
      </w:r>
      <w:r w:rsidRPr="00C37E03">
        <w:rPr>
          <w:rFonts w:eastAsia="Calibri"/>
          <w:lang w:eastAsia="en-US"/>
        </w:rPr>
        <w:t>ares pel</w:t>
      </w:r>
      <w:r>
        <w:rPr>
          <w:rFonts w:eastAsia="Calibri"/>
          <w:lang w:eastAsia="en-US"/>
        </w:rPr>
        <w:t>a aprovação do presente Projeto</w:t>
      </w:r>
      <w:r w:rsidR="001736B2" w:rsidRPr="001736B2">
        <w:rPr>
          <w:rFonts w:eastAsia="Calibri"/>
          <w:lang w:eastAsia="en-US"/>
        </w:rPr>
        <w:t>.</w:t>
      </w:r>
    </w:p>
    <w:p w14:paraId="31F93F2F" w14:textId="77777777" w:rsidR="001736B2" w:rsidRPr="00115D7B" w:rsidRDefault="001736B2" w:rsidP="001736B2">
      <w:pPr>
        <w:ind w:firstLine="1418"/>
        <w:jc w:val="both"/>
        <w:rPr>
          <w:rFonts w:eastAsia="Calibri"/>
          <w:lang w:eastAsia="en-US"/>
        </w:rPr>
      </w:pPr>
    </w:p>
    <w:p w14:paraId="4E1ED474" w14:textId="1354448D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1736B2">
        <w:rPr>
          <w:rFonts w:eastAsia="Calibri"/>
          <w:lang w:eastAsia="en-US"/>
        </w:rPr>
        <w:t>1</w:t>
      </w:r>
      <w:r w:rsidR="003C4082">
        <w:rPr>
          <w:rFonts w:eastAsia="Calibri"/>
          <w:lang w:eastAsia="en-US"/>
        </w:rPr>
        <w:t>6</w:t>
      </w:r>
      <w:r w:rsidR="003016BD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>de</w:t>
      </w:r>
      <w:r w:rsidR="003C4082">
        <w:rPr>
          <w:rFonts w:eastAsia="Calibri"/>
          <w:lang w:eastAsia="en-US"/>
        </w:rPr>
        <w:t xml:space="preserve"> abril</w:t>
      </w:r>
      <w:r w:rsidR="001736B2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3016BD">
        <w:rPr>
          <w:rFonts w:eastAsia="Calibri"/>
          <w:lang w:eastAsia="en-US"/>
        </w:rPr>
        <w:t>20</w:t>
      </w:r>
      <w:r w:rsidR="003C4082">
        <w:rPr>
          <w:rFonts w:eastAsia="Calibri"/>
          <w:lang w:eastAsia="en-US"/>
        </w:rPr>
        <w:t>21</w:t>
      </w:r>
      <w:r w:rsidRPr="00504671">
        <w:rPr>
          <w:rFonts w:eastAsia="Calibri"/>
          <w:lang w:eastAsia="en-US"/>
        </w:rPr>
        <w:t>.</w:t>
      </w:r>
    </w:p>
    <w:p w14:paraId="7A704C46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73237B8C" w14:textId="77777777" w:rsidR="00A05274" w:rsidRDefault="00A05274" w:rsidP="00C03878">
      <w:pPr>
        <w:jc w:val="center"/>
        <w:rPr>
          <w:rFonts w:eastAsia="Calibri"/>
          <w:lang w:eastAsia="en-US"/>
        </w:rPr>
      </w:pPr>
    </w:p>
    <w:p w14:paraId="3347AFFB" w14:textId="77777777" w:rsidR="00A05274" w:rsidRDefault="00A05274" w:rsidP="00C03878">
      <w:pPr>
        <w:jc w:val="center"/>
        <w:rPr>
          <w:rFonts w:eastAsia="Calibri"/>
          <w:lang w:eastAsia="en-US"/>
        </w:rPr>
      </w:pPr>
    </w:p>
    <w:p w14:paraId="412B16EF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2D1BB241" w14:textId="0357E8EA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>VEREADOR</w:t>
      </w:r>
      <w:r w:rsidR="00C37E03">
        <w:rPr>
          <w:rFonts w:eastAsia="Calibri"/>
          <w:lang w:eastAsia="en-US"/>
        </w:rPr>
        <w:t xml:space="preserve"> </w:t>
      </w:r>
      <w:r w:rsidR="001736B2">
        <w:rPr>
          <w:rFonts w:eastAsia="Calibri"/>
          <w:lang w:eastAsia="en-US"/>
        </w:rPr>
        <w:t>A</w:t>
      </w:r>
      <w:r w:rsidR="00C37E03">
        <w:rPr>
          <w:rFonts w:eastAsia="Calibri"/>
          <w:lang w:eastAsia="en-US"/>
        </w:rPr>
        <w:t>LDACIR OLIBONI</w:t>
      </w:r>
    </w:p>
    <w:p w14:paraId="1A9242E1" w14:textId="77777777" w:rsidR="008A1A0B" w:rsidRDefault="00847E49" w:rsidP="008A1A0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847E49">
        <w:rPr>
          <w:b/>
        </w:rPr>
        <w:br w:type="page"/>
      </w:r>
      <w:r w:rsidR="008A1A0B">
        <w:rPr>
          <w:bCs/>
        </w:rPr>
        <w:t>Subscrição dos vereadores da Câmara Municipal de Porto Alegre, em atendimento ao inc. I do art. 73 da Lei Orgânica do Município de Porto Alegre e ao inc. I do art. 127 do Regimento:</w:t>
      </w:r>
    </w:p>
    <w:p w14:paraId="781C6E5A" w14:textId="3D322712" w:rsidR="00E16809" w:rsidRPr="00847E49" w:rsidRDefault="008A1A0B" w:rsidP="008A1A0B">
      <w:pPr>
        <w:jc w:val="center"/>
        <w:rPr>
          <w:b/>
          <w:bCs/>
        </w:rPr>
      </w:pPr>
      <w:r>
        <w:rPr>
          <w:b/>
        </w:rPr>
        <w:br w:type="page"/>
      </w:r>
      <w:r>
        <w:rPr>
          <w:b/>
          <w:iCs/>
        </w:rPr>
        <w:t>P</w:t>
      </w:r>
      <w:r w:rsidRPr="00A139F5">
        <w:rPr>
          <w:b/>
          <w:iCs/>
        </w:rPr>
        <w:t>ROJETO DE EMENDA À LEI ORGÂNICA</w:t>
      </w:r>
    </w:p>
    <w:p w14:paraId="75C270DF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3F7116B8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7081667C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3449B762" w14:textId="273ED9C9" w:rsidR="00B001D8" w:rsidRDefault="00B001D8" w:rsidP="00B001D8">
      <w:pPr>
        <w:autoSpaceDE w:val="0"/>
        <w:autoSpaceDN w:val="0"/>
        <w:adjustRightInd w:val="0"/>
        <w:ind w:left="4253"/>
        <w:jc w:val="both"/>
        <w:rPr>
          <w:b/>
        </w:rPr>
      </w:pPr>
      <w:bookmarkStart w:id="0" w:name="_GoBack"/>
      <w:r w:rsidRPr="005E1824">
        <w:rPr>
          <w:b/>
        </w:rPr>
        <w:t xml:space="preserve">Altera </w:t>
      </w:r>
      <w:r>
        <w:rPr>
          <w:b/>
        </w:rPr>
        <w:t>o</w:t>
      </w:r>
      <w:r w:rsidRPr="00C37E03">
        <w:rPr>
          <w:b/>
        </w:rPr>
        <w:t xml:space="preserve"> parágrafo único do art. 19 da Lei Orgânica do Município de Porto Alegre,</w:t>
      </w:r>
      <w:r>
        <w:rPr>
          <w:b/>
        </w:rPr>
        <w:t xml:space="preserve"> vedando, no âmbito do Executivo Municipal e do Legislativo Municipal, a ocupação de cargo</w:t>
      </w:r>
      <w:r w:rsidRPr="00476221">
        <w:rPr>
          <w:b/>
        </w:rPr>
        <w:t xml:space="preserve">s em comissão </w:t>
      </w:r>
      <w:r w:rsidRPr="00A05274">
        <w:rPr>
          <w:b/>
        </w:rPr>
        <w:t>por cônjuges, companheiros ou parentes em linha reta, colateral ou por afinidade, até o terceiro grau do Prefeito, do Vice-Prefeito, dos Secretários Municipais, dos Presidentes, dos Vice-Presidentes e dos Diretores-Gerais de autarquia, fundação instituída ou mantida pelo Poder Público, empresa pública ou sociedade de economia mista controladas pelo Município e dos Vereadores.</w:t>
      </w:r>
      <w:bookmarkEnd w:id="0"/>
    </w:p>
    <w:p w14:paraId="672E4F0A" w14:textId="77777777" w:rsidR="00B001D8" w:rsidRPr="00C37E03" w:rsidRDefault="00B001D8" w:rsidP="00C37E03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625E03BC" w14:textId="77777777" w:rsidR="001736B2" w:rsidRPr="00C03878" w:rsidRDefault="001736B2" w:rsidP="001736B2">
      <w:pPr>
        <w:autoSpaceDE w:val="0"/>
        <w:autoSpaceDN w:val="0"/>
        <w:adjustRightInd w:val="0"/>
        <w:ind w:left="4253"/>
        <w:jc w:val="both"/>
      </w:pPr>
    </w:p>
    <w:p w14:paraId="0D9E3D68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2117DD88" w14:textId="73BAB58C" w:rsidR="001736B2" w:rsidRDefault="00265BFC" w:rsidP="001736B2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C37E03">
        <w:t>Fica alterado o parágrafo único do art. 19</w:t>
      </w:r>
      <w:r w:rsidR="00EA0939">
        <w:t xml:space="preserve"> da Lei Orgânica do Município de Porto Alegre </w:t>
      </w:r>
      <w:r w:rsidR="00C37E03">
        <w:t>(LOMPA), conforme segue:</w:t>
      </w:r>
    </w:p>
    <w:p w14:paraId="2B9A805A" w14:textId="77777777" w:rsidR="001736B2" w:rsidRDefault="001736B2" w:rsidP="001736B2">
      <w:pPr>
        <w:ind w:firstLine="1418"/>
        <w:jc w:val="both"/>
      </w:pPr>
    </w:p>
    <w:p w14:paraId="6A73EB00" w14:textId="097F654D" w:rsidR="00C37E03" w:rsidRDefault="001736B2" w:rsidP="001736B2">
      <w:pPr>
        <w:ind w:firstLine="1418"/>
        <w:jc w:val="both"/>
      </w:pPr>
      <w:r>
        <w:t>“Art. 1</w:t>
      </w:r>
      <w:r w:rsidR="00C37E03">
        <w:t>9</w:t>
      </w:r>
      <w:r w:rsidR="00AA3617">
        <w:t>.  ....................................................................................................................</w:t>
      </w:r>
    </w:p>
    <w:p w14:paraId="672D59EC" w14:textId="77777777" w:rsidR="00AA3617" w:rsidRDefault="00AA3617" w:rsidP="00AA3617">
      <w:pPr>
        <w:ind w:firstLine="1418"/>
        <w:jc w:val="both"/>
      </w:pPr>
    </w:p>
    <w:p w14:paraId="05FA1CBE" w14:textId="37C48A6E" w:rsidR="00AA3617" w:rsidRPr="00C37E03" w:rsidRDefault="00AA3617" w:rsidP="00AA3617">
      <w:pPr>
        <w:ind w:firstLine="1418"/>
        <w:jc w:val="both"/>
      </w:pPr>
      <w:r w:rsidRPr="00C37E03">
        <w:t>Parágrafo único.  Os cargos em comissão terão número e remuneração certos, não serão organizados em carreira e não poderão ser ocupados, no âmbito do Executivo Municipal e no âmbito do Legislativo Municipal, por cônjuge</w:t>
      </w:r>
      <w:r w:rsidR="005D5547">
        <w:t>s</w:t>
      </w:r>
      <w:r w:rsidRPr="00C37E03">
        <w:t>, companheiro</w:t>
      </w:r>
      <w:r w:rsidR="005D5547">
        <w:t>s</w:t>
      </w:r>
      <w:r w:rsidRPr="00C37E03">
        <w:t xml:space="preserve"> ou parente</w:t>
      </w:r>
      <w:r w:rsidR="005D5547">
        <w:t>s</w:t>
      </w:r>
      <w:r w:rsidRPr="00C37E03">
        <w:t xml:space="preserve"> em linha reta, colateral ou por afinidade, até o terceiro grau do Prefeito, do Vice-Prefeito, dos Secretários Municipais, dos Presidentes, </w:t>
      </w:r>
      <w:r w:rsidR="005D5547">
        <w:t xml:space="preserve">dos </w:t>
      </w:r>
      <w:r w:rsidRPr="00C37E03">
        <w:t xml:space="preserve">Vice-Presidentes e </w:t>
      </w:r>
      <w:r w:rsidR="005D5547">
        <w:t xml:space="preserve">dos </w:t>
      </w:r>
      <w:r w:rsidRPr="00C37E03">
        <w:t>Diretores-Gerais de autarquia, fundação instituída ou mantida pelo Poder Público, empresa pública ou sociedade de economia mista controladas pelo Município</w:t>
      </w:r>
      <w:r w:rsidR="005D5547">
        <w:t xml:space="preserve"> </w:t>
      </w:r>
      <w:r w:rsidRPr="00C37E03">
        <w:t>e d</w:t>
      </w:r>
      <w:r w:rsidR="005D5547">
        <w:t>os</w:t>
      </w:r>
      <w:r w:rsidRPr="00C37E03">
        <w:t xml:space="preserve"> Vereadores.” (NR)</w:t>
      </w:r>
    </w:p>
    <w:p w14:paraId="1B63DFF2" w14:textId="77777777" w:rsidR="001736B2" w:rsidRDefault="001736B2" w:rsidP="001736B2">
      <w:pPr>
        <w:ind w:firstLine="1418"/>
        <w:jc w:val="both"/>
      </w:pPr>
    </w:p>
    <w:p w14:paraId="06305E41" w14:textId="5FE066F2" w:rsidR="008A1A0B" w:rsidRDefault="001736B2" w:rsidP="00AA3617">
      <w:pPr>
        <w:ind w:firstLine="1418"/>
        <w:jc w:val="both"/>
      </w:pPr>
      <w:r w:rsidRPr="005966D6">
        <w:rPr>
          <w:b/>
        </w:rPr>
        <w:t>Art. 2º</w:t>
      </w:r>
      <w:r>
        <w:t xml:space="preserve"> </w:t>
      </w:r>
      <w:r w:rsidR="00EA0939">
        <w:t xml:space="preserve"> </w:t>
      </w:r>
      <w:r w:rsidR="008A1A0B" w:rsidRPr="006E0437">
        <w:rPr>
          <w:snapToGrid w:val="0"/>
        </w:rPr>
        <w:t>Esta Emenda à Lei Orgânica</w:t>
      </w:r>
      <w:r w:rsidR="008A1A0B" w:rsidRPr="00C92F44">
        <w:t xml:space="preserve"> entra em vigor na data de sua publicação.</w:t>
      </w:r>
    </w:p>
    <w:p w14:paraId="709CEA6E" w14:textId="77777777" w:rsidR="009163A8" w:rsidRDefault="009163A8" w:rsidP="00AA3617">
      <w:pPr>
        <w:ind w:firstLine="1418"/>
        <w:jc w:val="both"/>
      </w:pPr>
    </w:p>
    <w:p w14:paraId="4EDA65E3" w14:textId="77777777" w:rsidR="009163A8" w:rsidRDefault="009163A8" w:rsidP="00AA3617">
      <w:pPr>
        <w:ind w:firstLine="1418"/>
        <w:jc w:val="both"/>
      </w:pPr>
    </w:p>
    <w:p w14:paraId="79E18336" w14:textId="7ED8ADB0" w:rsidR="005D5547" w:rsidRDefault="005D5547" w:rsidP="005D5547">
      <w:pPr>
        <w:ind w:firstLine="1418"/>
        <w:jc w:val="both"/>
      </w:pPr>
    </w:p>
    <w:p w14:paraId="7EA3928D" w14:textId="77777777" w:rsidR="00BE065D" w:rsidRDefault="00BE065D" w:rsidP="0017042C">
      <w:pPr>
        <w:ind w:firstLine="1418"/>
        <w:jc w:val="both"/>
      </w:pPr>
    </w:p>
    <w:p w14:paraId="16130145" w14:textId="77777777" w:rsidR="005B647B" w:rsidRDefault="005B647B" w:rsidP="0017042C">
      <w:pPr>
        <w:ind w:firstLine="1418"/>
        <w:jc w:val="both"/>
      </w:pPr>
    </w:p>
    <w:p w14:paraId="722472EE" w14:textId="77777777" w:rsidR="005B647B" w:rsidRDefault="005B647B" w:rsidP="0017042C">
      <w:pPr>
        <w:ind w:firstLine="1418"/>
        <w:jc w:val="both"/>
      </w:pPr>
    </w:p>
    <w:p w14:paraId="7B59FD82" w14:textId="77777777" w:rsidR="005B647B" w:rsidRDefault="005B647B" w:rsidP="0017042C">
      <w:pPr>
        <w:ind w:firstLine="1418"/>
        <w:jc w:val="both"/>
      </w:pPr>
    </w:p>
    <w:p w14:paraId="465F578B" w14:textId="77777777" w:rsidR="005B647B" w:rsidRDefault="005B647B" w:rsidP="0017042C">
      <w:pPr>
        <w:ind w:firstLine="1418"/>
        <w:jc w:val="both"/>
      </w:pPr>
    </w:p>
    <w:p w14:paraId="52AE37F3" w14:textId="77777777" w:rsidR="005B647B" w:rsidRDefault="005B647B" w:rsidP="0017042C">
      <w:pPr>
        <w:ind w:firstLine="1418"/>
        <w:jc w:val="both"/>
      </w:pPr>
    </w:p>
    <w:p w14:paraId="7EBDA8E8" w14:textId="77777777" w:rsidR="00A05274" w:rsidRDefault="00A05274" w:rsidP="0017042C">
      <w:pPr>
        <w:ind w:firstLine="1418"/>
        <w:jc w:val="both"/>
      </w:pPr>
    </w:p>
    <w:p w14:paraId="4D05D0AE" w14:textId="77777777" w:rsidR="00A05274" w:rsidRDefault="00A05274" w:rsidP="0017042C">
      <w:pPr>
        <w:ind w:firstLine="1418"/>
        <w:jc w:val="both"/>
      </w:pPr>
    </w:p>
    <w:p w14:paraId="7F0D2B40" w14:textId="77777777" w:rsidR="00C37E03" w:rsidRDefault="00C37E03" w:rsidP="0017042C">
      <w:pPr>
        <w:ind w:firstLine="1418"/>
        <w:jc w:val="both"/>
      </w:pPr>
    </w:p>
    <w:p w14:paraId="643A1DC9" w14:textId="70837ADC" w:rsidR="00322580" w:rsidRPr="0017042C" w:rsidRDefault="00C37E03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/DBF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D59C5" w14:textId="77777777" w:rsidR="00054914" w:rsidRDefault="00054914">
      <w:r>
        <w:separator/>
      </w:r>
    </w:p>
  </w:endnote>
  <w:endnote w:type="continuationSeparator" w:id="0">
    <w:p w14:paraId="171080CB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DD0BC" w14:textId="77777777" w:rsidR="00054914" w:rsidRDefault="00054914">
      <w:r>
        <w:separator/>
      </w:r>
    </w:p>
  </w:footnote>
  <w:footnote w:type="continuationSeparator" w:id="0">
    <w:p w14:paraId="6C107CAF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A300C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A81476" wp14:editId="5D25CA3B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6942099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A05274">
      <w:rPr>
        <w:b/>
        <w:bCs/>
        <w:noProof/>
      </w:rPr>
      <w:t>5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257789EE" w14:textId="77777777" w:rsidR="00244AC2" w:rsidRDefault="00244AC2" w:rsidP="00244AC2">
    <w:pPr>
      <w:pStyle w:val="Cabealho"/>
      <w:jc w:val="right"/>
      <w:rPr>
        <w:b/>
        <w:bCs/>
      </w:rPr>
    </w:pPr>
  </w:p>
  <w:p w14:paraId="75F32448" w14:textId="29FFD6B3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C37E03">
      <w:rPr>
        <w:b/>
        <w:bCs/>
      </w:rPr>
      <w:t>0</w:t>
    </w:r>
    <w:r w:rsidR="001736B2">
      <w:rPr>
        <w:b/>
        <w:bCs/>
      </w:rPr>
      <w:t>4</w:t>
    </w:r>
    <w:r w:rsidR="00C37E03">
      <w:rPr>
        <w:b/>
        <w:bCs/>
      </w:rPr>
      <w:t>11</w:t>
    </w:r>
    <w:r w:rsidR="009339B1">
      <w:rPr>
        <w:b/>
        <w:bCs/>
      </w:rPr>
      <w:t>/</w:t>
    </w:r>
    <w:r w:rsidR="00C37E03">
      <w:rPr>
        <w:b/>
        <w:bCs/>
      </w:rPr>
      <w:t>2</w:t>
    </w:r>
    <w:r w:rsidR="008A1A0B">
      <w:rPr>
        <w:b/>
        <w:bCs/>
      </w:rPr>
      <w:t>1</w:t>
    </w:r>
  </w:p>
  <w:p w14:paraId="0BC3E089" w14:textId="04E47152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8A1A0B">
      <w:rPr>
        <w:b/>
        <w:bCs/>
      </w:rPr>
      <w:t>E</w:t>
    </w:r>
    <w:r w:rsidR="00E16809">
      <w:rPr>
        <w:b/>
        <w:bCs/>
      </w:rPr>
      <w:t>L</w:t>
    </w:r>
    <w:r w:rsidR="008A1A0B">
      <w:rPr>
        <w:b/>
        <w:bCs/>
      </w:rPr>
      <w:t>O</w:t>
    </w:r>
    <w:r>
      <w:rPr>
        <w:b/>
        <w:bCs/>
      </w:rPr>
      <w:t xml:space="preserve"> </w:t>
    </w:r>
    <w:r w:rsidR="00800558">
      <w:rPr>
        <w:b/>
        <w:bCs/>
      </w:rPr>
      <w:t xml:space="preserve"> </w:t>
    </w:r>
    <w:r>
      <w:rPr>
        <w:b/>
        <w:bCs/>
      </w:rPr>
      <w:t xml:space="preserve"> Nº     </w:t>
    </w:r>
    <w:r w:rsidR="001736B2">
      <w:rPr>
        <w:b/>
        <w:bCs/>
      </w:rPr>
      <w:t>00</w:t>
    </w:r>
    <w:r w:rsidR="00C37E03">
      <w:rPr>
        <w:b/>
        <w:bCs/>
      </w:rPr>
      <w:t>3</w:t>
    </w:r>
    <w:r w:rsidR="009339B1">
      <w:rPr>
        <w:b/>
        <w:bCs/>
      </w:rPr>
      <w:t>/</w:t>
    </w:r>
    <w:r w:rsidR="00C37E03">
      <w:rPr>
        <w:b/>
        <w:bCs/>
      </w:rPr>
      <w:t>21</w:t>
    </w:r>
  </w:p>
  <w:p w14:paraId="74899D57" w14:textId="77777777" w:rsidR="00244AC2" w:rsidRDefault="00244AC2" w:rsidP="00244AC2">
    <w:pPr>
      <w:pStyle w:val="Cabealho"/>
      <w:jc w:val="right"/>
      <w:rPr>
        <w:b/>
        <w:bCs/>
      </w:rPr>
    </w:pPr>
  </w:p>
  <w:p w14:paraId="5E660DF0" w14:textId="77777777" w:rsidR="00244AC2" w:rsidRDefault="00244AC2" w:rsidP="00244AC2">
    <w:pPr>
      <w:pStyle w:val="Cabealho"/>
      <w:jc w:val="right"/>
      <w:rPr>
        <w:b/>
        <w:bCs/>
      </w:rPr>
    </w:pPr>
  </w:p>
  <w:p w14:paraId="0C31896E" w14:textId="77777777" w:rsidR="00BE065D" w:rsidRDefault="00BE065D" w:rsidP="00244AC2">
    <w:pPr>
      <w:pStyle w:val="Cabealho"/>
      <w:jc w:val="right"/>
      <w:rPr>
        <w:b/>
        <w:bCs/>
      </w:rPr>
    </w:pPr>
  </w:p>
  <w:p w14:paraId="6372013F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2620"/>
    <w:rsid w:val="000174DB"/>
    <w:rsid w:val="00024B6B"/>
    <w:rsid w:val="00026618"/>
    <w:rsid w:val="00027CFD"/>
    <w:rsid w:val="00054914"/>
    <w:rsid w:val="000962D6"/>
    <w:rsid w:val="000B5093"/>
    <w:rsid w:val="000F535A"/>
    <w:rsid w:val="00105FED"/>
    <w:rsid w:val="00107096"/>
    <w:rsid w:val="00115D7B"/>
    <w:rsid w:val="001463E3"/>
    <w:rsid w:val="0015472C"/>
    <w:rsid w:val="0017042C"/>
    <w:rsid w:val="001736B2"/>
    <w:rsid w:val="001760C4"/>
    <w:rsid w:val="00186611"/>
    <w:rsid w:val="00190A53"/>
    <w:rsid w:val="00191914"/>
    <w:rsid w:val="00192984"/>
    <w:rsid w:val="001D4042"/>
    <w:rsid w:val="001D4701"/>
    <w:rsid w:val="001D6044"/>
    <w:rsid w:val="001D69FC"/>
    <w:rsid w:val="001E3D3B"/>
    <w:rsid w:val="0020384D"/>
    <w:rsid w:val="00207BB0"/>
    <w:rsid w:val="00244AC2"/>
    <w:rsid w:val="00254F83"/>
    <w:rsid w:val="00265488"/>
    <w:rsid w:val="00265BFC"/>
    <w:rsid w:val="00281135"/>
    <w:rsid w:val="00291447"/>
    <w:rsid w:val="002C2775"/>
    <w:rsid w:val="002E756C"/>
    <w:rsid w:val="002F400A"/>
    <w:rsid w:val="003016BD"/>
    <w:rsid w:val="00302F28"/>
    <w:rsid w:val="00315948"/>
    <w:rsid w:val="0032174A"/>
    <w:rsid w:val="00322580"/>
    <w:rsid w:val="003363CE"/>
    <w:rsid w:val="003544CB"/>
    <w:rsid w:val="0036703E"/>
    <w:rsid w:val="00381F87"/>
    <w:rsid w:val="00384B9F"/>
    <w:rsid w:val="0039795E"/>
    <w:rsid w:val="003C0D52"/>
    <w:rsid w:val="003C4082"/>
    <w:rsid w:val="003D35A4"/>
    <w:rsid w:val="003E3231"/>
    <w:rsid w:val="003E4786"/>
    <w:rsid w:val="00414169"/>
    <w:rsid w:val="0042580E"/>
    <w:rsid w:val="00426579"/>
    <w:rsid w:val="00446F25"/>
    <w:rsid w:val="00453B81"/>
    <w:rsid w:val="00457F45"/>
    <w:rsid w:val="0046365B"/>
    <w:rsid w:val="00463877"/>
    <w:rsid w:val="00474B06"/>
    <w:rsid w:val="00476221"/>
    <w:rsid w:val="00484022"/>
    <w:rsid w:val="00487D8A"/>
    <w:rsid w:val="004A5493"/>
    <w:rsid w:val="004B08E0"/>
    <w:rsid w:val="004B5F68"/>
    <w:rsid w:val="004B6A9E"/>
    <w:rsid w:val="004C1E11"/>
    <w:rsid w:val="004D2C22"/>
    <w:rsid w:val="004F273F"/>
    <w:rsid w:val="00504671"/>
    <w:rsid w:val="00520A30"/>
    <w:rsid w:val="005512F2"/>
    <w:rsid w:val="005530F5"/>
    <w:rsid w:val="00555551"/>
    <w:rsid w:val="00556572"/>
    <w:rsid w:val="00566A9E"/>
    <w:rsid w:val="005966D6"/>
    <w:rsid w:val="005B647B"/>
    <w:rsid w:val="005C1147"/>
    <w:rsid w:val="005C2EF7"/>
    <w:rsid w:val="005C3BAF"/>
    <w:rsid w:val="005D5547"/>
    <w:rsid w:val="005E63AE"/>
    <w:rsid w:val="0060486F"/>
    <w:rsid w:val="00617FD4"/>
    <w:rsid w:val="006259DD"/>
    <w:rsid w:val="006462C7"/>
    <w:rsid w:val="00665150"/>
    <w:rsid w:val="0069175B"/>
    <w:rsid w:val="006938C5"/>
    <w:rsid w:val="006951FF"/>
    <w:rsid w:val="006B2FE1"/>
    <w:rsid w:val="006B6B34"/>
    <w:rsid w:val="006C63F9"/>
    <w:rsid w:val="006F67D4"/>
    <w:rsid w:val="006F7F0F"/>
    <w:rsid w:val="00714811"/>
    <w:rsid w:val="00721FE1"/>
    <w:rsid w:val="00726B58"/>
    <w:rsid w:val="0074274A"/>
    <w:rsid w:val="007726D4"/>
    <w:rsid w:val="00772A86"/>
    <w:rsid w:val="00772B09"/>
    <w:rsid w:val="007846FD"/>
    <w:rsid w:val="007953F9"/>
    <w:rsid w:val="007A3921"/>
    <w:rsid w:val="007A6474"/>
    <w:rsid w:val="007B3830"/>
    <w:rsid w:val="007B3B05"/>
    <w:rsid w:val="007C4D2C"/>
    <w:rsid w:val="007C739E"/>
    <w:rsid w:val="007D5CA6"/>
    <w:rsid w:val="007F5959"/>
    <w:rsid w:val="00800558"/>
    <w:rsid w:val="00802AFD"/>
    <w:rsid w:val="00826440"/>
    <w:rsid w:val="00831400"/>
    <w:rsid w:val="00834E92"/>
    <w:rsid w:val="00837E3C"/>
    <w:rsid w:val="00847E49"/>
    <w:rsid w:val="00855B81"/>
    <w:rsid w:val="00886294"/>
    <w:rsid w:val="0089217C"/>
    <w:rsid w:val="0089741A"/>
    <w:rsid w:val="008A1A0B"/>
    <w:rsid w:val="008C3A1B"/>
    <w:rsid w:val="00912F08"/>
    <w:rsid w:val="009163A8"/>
    <w:rsid w:val="009339B1"/>
    <w:rsid w:val="00943437"/>
    <w:rsid w:val="00945FE2"/>
    <w:rsid w:val="009479C2"/>
    <w:rsid w:val="009654CD"/>
    <w:rsid w:val="009862B4"/>
    <w:rsid w:val="00987893"/>
    <w:rsid w:val="009A6CE3"/>
    <w:rsid w:val="009B5889"/>
    <w:rsid w:val="009C04EC"/>
    <w:rsid w:val="009E4B6B"/>
    <w:rsid w:val="009F6C1C"/>
    <w:rsid w:val="009F6E02"/>
    <w:rsid w:val="00A05274"/>
    <w:rsid w:val="00A52102"/>
    <w:rsid w:val="00A65CE6"/>
    <w:rsid w:val="00A74362"/>
    <w:rsid w:val="00A753D4"/>
    <w:rsid w:val="00A810BB"/>
    <w:rsid w:val="00AA3617"/>
    <w:rsid w:val="00AB0979"/>
    <w:rsid w:val="00AC2218"/>
    <w:rsid w:val="00AC64DE"/>
    <w:rsid w:val="00B001D8"/>
    <w:rsid w:val="00B03454"/>
    <w:rsid w:val="00B203DA"/>
    <w:rsid w:val="00B308CD"/>
    <w:rsid w:val="00B40877"/>
    <w:rsid w:val="00B4214A"/>
    <w:rsid w:val="00B8175C"/>
    <w:rsid w:val="00B93804"/>
    <w:rsid w:val="00B93FF9"/>
    <w:rsid w:val="00BE065D"/>
    <w:rsid w:val="00C03878"/>
    <w:rsid w:val="00C37E03"/>
    <w:rsid w:val="00C65D6C"/>
    <w:rsid w:val="00C72428"/>
    <w:rsid w:val="00C82C3C"/>
    <w:rsid w:val="00CA0680"/>
    <w:rsid w:val="00CA5C69"/>
    <w:rsid w:val="00CB02AD"/>
    <w:rsid w:val="00CB3855"/>
    <w:rsid w:val="00CB4EF9"/>
    <w:rsid w:val="00CD32AB"/>
    <w:rsid w:val="00CD7A70"/>
    <w:rsid w:val="00D00992"/>
    <w:rsid w:val="00D01BA5"/>
    <w:rsid w:val="00D03911"/>
    <w:rsid w:val="00D27B36"/>
    <w:rsid w:val="00D30D41"/>
    <w:rsid w:val="00D32CBC"/>
    <w:rsid w:val="00D411EB"/>
    <w:rsid w:val="00D47542"/>
    <w:rsid w:val="00D63064"/>
    <w:rsid w:val="00D652E7"/>
    <w:rsid w:val="00D71299"/>
    <w:rsid w:val="00D71535"/>
    <w:rsid w:val="00D84060"/>
    <w:rsid w:val="00D903DD"/>
    <w:rsid w:val="00DD2F39"/>
    <w:rsid w:val="00DD69B4"/>
    <w:rsid w:val="00DE419F"/>
    <w:rsid w:val="00DF6913"/>
    <w:rsid w:val="00E00B36"/>
    <w:rsid w:val="00E01F24"/>
    <w:rsid w:val="00E16809"/>
    <w:rsid w:val="00E31D59"/>
    <w:rsid w:val="00E35A27"/>
    <w:rsid w:val="00E641BC"/>
    <w:rsid w:val="00E7431A"/>
    <w:rsid w:val="00E75878"/>
    <w:rsid w:val="00E8628A"/>
    <w:rsid w:val="00EA0939"/>
    <w:rsid w:val="00EA1192"/>
    <w:rsid w:val="00EC0C7A"/>
    <w:rsid w:val="00ED3133"/>
    <w:rsid w:val="00ED439F"/>
    <w:rsid w:val="00EE3E86"/>
    <w:rsid w:val="00EF3D40"/>
    <w:rsid w:val="00F05832"/>
    <w:rsid w:val="00F432AC"/>
    <w:rsid w:val="00F8043C"/>
    <w:rsid w:val="00F8339E"/>
    <w:rsid w:val="00F91FB6"/>
    <w:rsid w:val="00F94E39"/>
    <w:rsid w:val="00FA5526"/>
    <w:rsid w:val="00FC43CC"/>
    <w:rsid w:val="00FD0148"/>
    <w:rsid w:val="00FD59CA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D9B4198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866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661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661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66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6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C287-65F1-486D-83FF-A3D09C4A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78</TotalTime>
  <Pages>4</Pages>
  <Words>1171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13</cp:revision>
  <cp:lastPrinted>2019-08-15T13:56:00Z</cp:lastPrinted>
  <dcterms:created xsi:type="dcterms:W3CDTF">2021-07-06T15:56:00Z</dcterms:created>
  <dcterms:modified xsi:type="dcterms:W3CDTF">2021-08-03T17:17:00Z</dcterms:modified>
</cp:coreProperties>
</file>