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4B03BD2E" w14:textId="483C3EDC" w:rsidR="00DC24C2" w:rsidRPr="00DC24C2" w:rsidRDefault="00DC24C2" w:rsidP="00DC24C2">
      <w:pPr>
        <w:autoSpaceDE w:val="0"/>
        <w:ind w:firstLine="1418"/>
        <w:jc w:val="both"/>
        <w:rPr>
          <w:bCs/>
        </w:rPr>
      </w:pPr>
      <w:r w:rsidRPr="00DC24C2">
        <w:rPr>
          <w:bCs/>
        </w:rPr>
        <w:t xml:space="preserve">O objetivo do presente </w:t>
      </w:r>
      <w:r w:rsidR="009020F4">
        <w:rPr>
          <w:bCs/>
        </w:rPr>
        <w:t>P</w:t>
      </w:r>
      <w:r w:rsidR="009020F4" w:rsidRPr="00DC24C2">
        <w:rPr>
          <w:bCs/>
        </w:rPr>
        <w:t xml:space="preserve">rojeto </w:t>
      </w:r>
      <w:r w:rsidRPr="00DC24C2">
        <w:rPr>
          <w:bCs/>
        </w:rPr>
        <w:t xml:space="preserve">de </w:t>
      </w:r>
      <w:r w:rsidR="009020F4">
        <w:rPr>
          <w:bCs/>
        </w:rPr>
        <w:t>L</w:t>
      </w:r>
      <w:r w:rsidR="009020F4" w:rsidRPr="00DC24C2">
        <w:rPr>
          <w:bCs/>
        </w:rPr>
        <w:t xml:space="preserve">ei </w:t>
      </w:r>
      <w:r w:rsidRPr="00DC24C2">
        <w:rPr>
          <w:bCs/>
        </w:rPr>
        <w:t>é promover a pesquisa sobre os usos de uma planta que possui uma série de estigmas e tensionamentos ao seu respeito. Cannabis é um gênero de plantas que tem</w:t>
      </w:r>
      <w:r w:rsidR="009020F4">
        <w:rPr>
          <w:bCs/>
        </w:rPr>
        <w:t>,</w:t>
      </w:r>
      <w:r w:rsidRPr="00DC24C2">
        <w:rPr>
          <w:bCs/>
        </w:rPr>
        <w:t xml:space="preserve"> em sua família</w:t>
      </w:r>
      <w:r w:rsidR="009020F4">
        <w:rPr>
          <w:bCs/>
        </w:rPr>
        <w:t>,</w:t>
      </w:r>
      <w:r w:rsidRPr="00DC24C2">
        <w:rPr>
          <w:bCs/>
        </w:rPr>
        <w:t xml:space="preserve"> espécies como a maconha e o cânhamo. A maconha ainda é considerada uma droga ilícita no Brasil, pelo teor de THC, visto como o elemento psicoativo da planta. </w:t>
      </w:r>
      <w:hyperlink r:id="rId8" w:history="1">
        <w:r w:rsidR="006233A8" w:rsidRPr="006233A8">
          <w:rPr>
            <w:rStyle w:val="Hyperlink"/>
            <w:bCs/>
          </w:rPr>
          <w:t>Contudo</w:t>
        </w:r>
      </w:hyperlink>
      <w:r w:rsidRPr="006233A8">
        <w:t>, são muitos os estudos científicos que comprovam a eficácia da substância no tratamento de diversas doenças</w:t>
      </w:r>
      <w:r w:rsidRPr="00DC24C2">
        <w:rPr>
          <w:bCs/>
        </w:rPr>
        <w:t>, como um produto economicamente valioso e como uma propriedade valorosa de promoção da reparação social e histórica.</w:t>
      </w:r>
    </w:p>
    <w:p w14:paraId="697D63BA" w14:textId="4A4458F6" w:rsidR="00DC24C2" w:rsidRPr="00DC24C2" w:rsidRDefault="00DC24C2" w:rsidP="00DC24C2">
      <w:pPr>
        <w:autoSpaceDE w:val="0"/>
        <w:ind w:firstLine="1418"/>
        <w:jc w:val="both"/>
        <w:rPr>
          <w:bCs/>
        </w:rPr>
      </w:pPr>
      <w:r w:rsidRPr="00DC24C2">
        <w:rPr>
          <w:bCs/>
        </w:rPr>
        <w:t xml:space="preserve">O Brasil também tem um papel muito importante nas pesquisas com a planta. O psiquiatra e pesquisador da Faculdade de Medicina de Ribeirão Preto, </w:t>
      </w:r>
      <w:proofErr w:type="spellStart"/>
      <w:r w:rsidRPr="00DC24C2">
        <w:rPr>
          <w:bCs/>
        </w:rPr>
        <w:t>Antonio</w:t>
      </w:r>
      <w:proofErr w:type="spellEnd"/>
      <w:r w:rsidRPr="00DC24C2">
        <w:rPr>
          <w:bCs/>
        </w:rPr>
        <w:t xml:space="preserve"> Waldo </w:t>
      </w:r>
      <w:proofErr w:type="spellStart"/>
      <w:r w:rsidRPr="00DC24C2">
        <w:rPr>
          <w:bCs/>
        </w:rPr>
        <w:t>Zuardi</w:t>
      </w:r>
      <w:proofErr w:type="spellEnd"/>
      <w:r w:rsidRPr="00DC24C2">
        <w:rPr>
          <w:bCs/>
        </w:rPr>
        <w:t xml:space="preserve">, foi o primeiro do mundo a demonstrar os efeitos calmantes e antipsicóticos do CBD. O primeiro extrato de </w:t>
      </w:r>
      <w:proofErr w:type="spellStart"/>
      <w:r w:rsidRPr="00DC24C2">
        <w:rPr>
          <w:bCs/>
        </w:rPr>
        <w:t>canabidiol</w:t>
      </w:r>
      <w:proofErr w:type="spellEnd"/>
      <w:r w:rsidRPr="00DC24C2">
        <w:rPr>
          <w:bCs/>
        </w:rPr>
        <w:t xml:space="preserve"> desenvolvido no Brasil também surgiu de pesquisas entre a FMRP e a USP. O Prof. Dr. </w:t>
      </w:r>
      <w:proofErr w:type="spellStart"/>
      <w:r w:rsidRPr="00DC24C2">
        <w:rPr>
          <w:bCs/>
        </w:rPr>
        <w:t>Elisaldo</w:t>
      </w:r>
      <w:proofErr w:type="spellEnd"/>
      <w:r w:rsidRPr="00DC24C2">
        <w:rPr>
          <w:bCs/>
        </w:rPr>
        <w:t xml:space="preserve"> </w:t>
      </w:r>
      <w:proofErr w:type="spellStart"/>
      <w:r w:rsidRPr="00DC24C2">
        <w:rPr>
          <w:bCs/>
        </w:rPr>
        <w:t>Carlini</w:t>
      </w:r>
      <w:proofErr w:type="spellEnd"/>
      <w:r w:rsidRPr="00DC24C2">
        <w:rPr>
          <w:bCs/>
        </w:rPr>
        <w:t xml:space="preserve">, da UNIFESP, publicou no J </w:t>
      </w:r>
      <w:proofErr w:type="spellStart"/>
      <w:r w:rsidRPr="00DC24C2">
        <w:rPr>
          <w:bCs/>
        </w:rPr>
        <w:t>ClinPharmacol</w:t>
      </w:r>
      <w:proofErr w:type="spellEnd"/>
      <w:r w:rsidRPr="00DC24C2">
        <w:rPr>
          <w:bCs/>
        </w:rPr>
        <w:t xml:space="preserve"> em 1981 um estudo sobre os efeitos benéficos do CBD para crises convulsivas. O brasileiro também foi pioneiro nas pesquisas sobre o tema.</w:t>
      </w:r>
    </w:p>
    <w:p w14:paraId="533CDC39" w14:textId="77777777" w:rsidR="003D0F88" w:rsidRPr="003D0F88" w:rsidRDefault="003D0F88" w:rsidP="003D0F88">
      <w:pPr>
        <w:autoSpaceDE w:val="0"/>
        <w:ind w:firstLine="1418"/>
        <w:jc w:val="both"/>
        <w:rPr>
          <w:bCs/>
        </w:rPr>
      </w:pPr>
      <w:r w:rsidRPr="003D0F88">
        <w:rPr>
          <w:bCs/>
        </w:rPr>
        <w:t xml:space="preserve">A Universidade de São Paulo (USP) conta com quatro pesquisadores entre os dez mais produtivos do mundo sobre o tema. A instituição é responsável, também, pelo desenvolvimento de um fitofármaco à base de </w:t>
      </w:r>
      <w:proofErr w:type="spellStart"/>
      <w:r w:rsidRPr="003D0F88">
        <w:rPr>
          <w:bCs/>
        </w:rPr>
        <w:t>canabidiol</w:t>
      </w:r>
      <w:proofErr w:type="spellEnd"/>
      <w:r w:rsidRPr="003D0F88">
        <w:rPr>
          <w:bCs/>
        </w:rPr>
        <w:t>. O medicamento foi aprovado em maio pela Agência Nacional de Vigilância Sanitária (Anvisa) para o uso compassivo no tratamento de diversas doenças. A venda é restrita ao receituário tipo B (azul).</w:t>
      </w:r>
    </w:p>
    <w:p w14:paraId="0E861EEB" w14:textId="4D5CDFCD" w:rsidR="003D0F88" w:rsidRPr="003D0F88" w:rsidRDefault="003D0F88" w:rsidP="003D0F88">
      <w:pPr>
        <w:autoSpaceDE w:val="0"/>
        <w:ind w:firstLine="1418"/>
        <w:jc w:val="both"/>
        <w:rPr>
          <w:bCs/>
        </w:rPr>
      </w:pPr>
      <w:r w:rsidRPr="003D0F88">
        <w:rPr>
          <w:bCs/>
        </w:rPr>
        <w:t> Os medicamentos à base de maconha são prescritos para pessoas com neuropatias, dores crônicas e diversas outras doenças. Eles se aplicam a questões como autismo, epilepsia, TDAH, TOC, síndrome de Tourette, Alzheimer, Parkinson, fibromialgia, insônia e dependentes químicos de cocaína e crack, por exemplo. Conforme especialistas, há melhora significativa no quadro dos pacientes.</w:t>
      </w:r>
    </w:p>
    <w:p w14:paraId="6800ECC4" w14:textId="561B5C3F" w:rsidR="003D0F88" w:rsidRPr="003D0F88" w:rsidRDefault="003D0F88" w:rsidP="003D0F88">
      <w:pPr>
        <w:autoSpaceDE w:val="0"/>
        <w:ind w:firstLine="1418"/>
        <w:jc w:val="both"/>
        <w:rPr>
          <w:bCs/>
        </w:rPr>
      </w:pPr>
      <w:r w:rsidRPr="003D0F88">
        <w:rPr>
          <w:bCs/>
        </w:rPr>
        <w:t xml:space="preserve"> O </w:t>
      </w:r>
      <w:proofErr w:type="spellStart"/>
      <w:r w:rsidRPr="003D0F88">
        <w:rPr>
          <w:bCs/>
        </w:rPr>
        <w:t>canabidiol</w:t>
      </w:r>
      <w:proofErr w:type="spellEnd"/>
      <w:r w:rsidRPr="003D0F88">
        <w:rPr>
          <w:bCs/>
        </w:rPr>
        <w:t xml:space="preserve"> é apontado como substância potencialmente eficaz no tratamento da epilepsia refratária. Isso porque o CBD é capaz de controlar as descargas de neurotransmissores e, com isso, reduzir crises convulsivas tanto em número quanto em intensidade.</w:t>
      </w:r>
    </w:p>
    <w:p w14:paraId="2C543031" w14:textId="29434332" w:rsidR="003D0F88" w:rsidRPr="003D0F88" w:rsidRDefault="003D0F88" w:rsidP="003D0F88">
      <w:pPr>
        <w:autoSpaceDE w:val="0"/>
        <w:ind w:firstLine="1418"/>
        <w:jc w:val="both"/>
        <w:rPr>
          <w:bCs/>
        </w:rPr>
      </w:pPr>
      <w:r w:rsidRPr="003D0F88">
        <w:rPr>
          <w:bCs/>
        </w:rPr>
        <w:t xml:space="preserve"> Para se ter uma ideia, a Organização Mundial da Saúde (OMS) estima que três quartos das pessoas que vivem com epilepsia em países de baixa renda não recebem o tratamento adequado – o que acelera a morte prematura. A lacuna, em longo prazo, poderia ser suprida com medicamentos à base de </w:t>
      </w:r>
      <w:proofErr w:type="spellStart"/>
      <w:r w:rsidRPr="003D0F88">
        <w:rPr>
          <w:bCs/>
        </w:rPr>
        <w:t>canabidiol</w:t>
      </w:r>
      <w:proofErr w:type="spellEnd"/>
      <w:r w:rsidRPr="003D0F88">
        <w:rPr>
          <w:bCs/>
        </w:rPr>
        <w:t>.</w:t>
      </w:r>
    </w:p>
    <w:p w14:paraId="49E9DB28" w14:textId="4F3F1FDF" w:rsidR="00DC24C2" w:rsidRPr="00DC24C2" w:rsidRDefault="00DC24C2" w:rsidP="00DC24C2">
      <w:pPr>
        <w:autoSpaceDE w:val="0"/>
        <w:ind w:firstLine="1418"/>
        <w:jc w:val="both"/>
        <w:rPr>
          <w:bCs/>
        </w:rPr>
      </w:pPr>
      <w:r w:rsidRPr="00DC24C2">
        <w:rPr>
          <w:bCs/>
        </w:rPr>
        <w:t xml:space="preserve">No âmbito deste </w:t>
      </w:r>
      <w:r w:rsidR="009020F4">
        <w:rPr>
          <w:bCs/>
        </w:rPr>
        <w:t>M</w:t>
      </w:r>
      <w:r w:rsidRPr="00DC24C2">
        <w:rPr>
          <w:bCs/>
        </w:rPr>
        <w:t>unicípio</w:t>
      </w:r>
      <w:r w:rsidR="009020F4">
        <w:rPr>
          <w:bCs/>
        </w:rPr>
        <w:t xml:space="preserve">, </w:t>
      </w:r>
      <w:r w:rsidRPr="00DC24C2">
        <w:rPr>
          <w:bCs/>
        </w:rPr>
        <w:t>temos a presença da</w:t>
      </w:r>
      <w:r w:rsidR="009020F4" w:rsidRPr="00DC24C2">
        <w:rPr>
          <w:bCs/>
        </w:rPr>
        <w:t xml:space="preserve"> Faculdade de Ciências da Saúde</w:t>
      </w:r>
      <w:r w:rsidR="009020F4">
        <w:rPr>
          <w:bCs/>
        </w:rPr>
        <w:t xml:space="preserve"> da</w:t>
      </w:r>
      <w:r w:rsidRPr="00DC24C2">
        <w:rPr>
          <w:bCs/>
        </w:rPr>
        <w:t xml:space="preserve"> Universidade Federal do Rio Grande do Sul, </w:t>
      </w:r>
      <w:r w:rsidR="009020F4">
        <w:rPr>
          <w:bCs/>
        </w:rPr>
        <w:t>na qual formou-se</w:t>
      </w:r>
      <w:r w:rsidRPr="00DC24C2">
        <w:rPr>
          <w:bCs/>
        </w:rPr>
        <w:t xml:space="preserve"> em </w:t>
      </w:r>
      <w:r w:rsidR="009020F4">
        <w:rPr>
          <w:bCs/>
        </w:rPr>
        <w:t>m</w:t>
      </w:r>
      <w:r w:rsidR="009020F4" w:rsidRPr="00DC24C2">
        <w:rPr>
          <w:bCs/>
        </w:rPr>
        <w:t xml:space="preserve">edicina </w:t>
      </w:r>
      <w:r w:rsidRPr="00DC24C2">
        <w:rPr>
          <w:bCs/>
        </w:rPr>
        <w:t>o Dr. Francisco Guimarães</w:t>
      </w:r>
      <w:r w:rsidR="009020F4">
        <w:rPr>
          <w:bCs/>
        </w:rPr>
        <w:t>,</w:t>
      </w:r>
      <w:r w:rsidRPr="00DC24C2">
        <w:rPr>
          <w:bCs/>
        </w:rPr>
        <w:t xml:space="preserve"> que desenvolve pesquisas com ênfase em </w:t>
      </w:r>
      <w:proofErr w:type="spellStart"/>
      <w:r w:rsidRPr="00DC24C2">
        <w:rPr>
          <w:bCs/>
        </w:rPr>
        <w:t>Neuropsicofarmacologia</w:t>
      </w:r>
      <w:proofErr w:type="spellEnd"/>
      <w:r w:rsidRPr="00DC24C2">
        <w:rPr>
          <w:bCs/>
        </w:rPr>
        <w:t>, principalmente nos temas de óxido nítrico</w:t>
      </w:r>
      <w:r w:rsidR="009020F4">
        <w:rPr>
          <w:bCs/>
        </w:rPr>
        <w:t>,</w:t>
      </w:r>
      <w:r w:rsidR="009020F4" w:rsidRPr="00DC24C2">
        <w:rPr>
          <w:bCs/>
        </w:rPr>
        <w:t xml:space="preserve"> </w:t>
      </w:r>
      <w:r w:rsidRPr="00DC24C2">
        <w:rPr>
          <w:bCs/>
        </w:rPr>
        <w:t>ansiedade</w:t>
      </w:r>
      <w:r w:rsidR="009020F4">
        <w:rPr>
          <w:bCs/>
        </w:rPr>
        <w:t>,</w:t>
      </w:r>
      <w:r w:rsidR="009020F4" w:rsidRPr="00DC24C2">
        <w:rPr>
          <w:bCs/>
        </w:rPr>
        <w:t xml:space="preserve"> </w:t>
      </w:r>
      <w:r w:rsidRPr="00DC24C2">
        <w:rPr>
          <w:bCs/>
        </w:rPr>
        <w:t>glutamato</w:t>
      </w:r>
      <w:r w:rsidR="009020F4">
        <w:rPr>
          <w:bCs/>
        </w:rPr>
        <w:t>,</w:t>
      </w:r>
      <w:r w:rsidR="009020F4" w:rsidRPr="00DC24C2">
        <w:rPr>
          <w:bCs/>
        </w:rPr>
        <w:t xml:space="preserve"> </w:t>
      </w:r>
      <w:r w:rsidRPr="00DC24C2">
        <w:rPr>
          <w:bCs/>
        </w:rPr>
        <w:t>serotonina</w:t>
      </w:r>
      <w:r w:rsidR="009020F4">
        <w:rPr>
          <w:bCs/>
        </w:rPr>
        <w:t>,</w:t>
      </w:r>
      <w:r w:rsidR="009020F4" w:rsidRPr="00DC24C2">
        <w:rPr>
          <w:bCs/>
        </w:rPr>
        <w:t xml:space="preserve"> </w:t>
      </w:r>
      <w:proofErr w:type="spellStart"/>
      <w:r w:rsidRPr="00DC24C2">
        <w:rPr>
          <w:bCs/>
        </w:rPr>
        <w:t>canabinoides</w:t>
      </w:r>
      <w:proofErr w:type="spellEnd"/>
      <w:r w:rsidRPr="00DC24C2">
        <w:rPr>
          <w:bCs/>
        </w:rPr>
        <w:t xml:space="preserve"> e estresse. </w:t>
      </w:r>
    </w:p>
    <w:p w14:paraId="2B896F04" w14:textId="19F38BC4" w:rsidR="00DC24C2" w:rsidRPr="00DC24C2" w:rsidRDefault="00DC24C2" w:rsidP="00DC24C2">
      <w:pPr>
        <w:autoSpaceDE w:val="0"/>
        <w:ind w:firstLine="1418"/>
        <w:jc w:val="both"/>
        <w:rPr>
          <w:bCs/>
        </w:rPr>
      </w:pPr>
      <w:r w:rsidRPr="00DC24C2">
        <w:rPr>
          <w:bCs/>
        </w:rPr>
        <w:t>Em dezembro de 2019, a regulamentação de produtos à base de maconha no Brasil foi aprovada pela Agência Nacional de Vigilância Sanitária (</w:t>
      </w:r>
      <w:hyperlink r:id="rId9" w:history="1">
        <w:r w:rsidR="0065211C" w:rsidRPr="006233A8">
          <w:rPr>
            <w:rStyle w:val="Hyperlink"/>
          </w:rPr>
          <w:t>Anvisa</w:t>
        </w:r>
      </w:hyperlink>
      <w:r w:rsidR="005D028B">
        <w:t>)</w:t>
      </w:r>
      <w:r w:rsidRPr="00DC24C2">
        <w:rPr>
          <w:bCs/>
        </w:rPr>
        <w:t>, mas somente em março de 2020, a resolução RDC 327/2019 entrou em vigor. Ainda, o último acontecimento relevante em termos de políticas públicas sobre o tema ocorreu na </w:t>
      </w:r>
      <w:r w:rsidRPr="006233A8">
        <w:t xml:space="preserve">Câmara Municipal de </w:t>
      </w:r>
      <w:hyperlink r:id="rId10" w:history="1">
        <w:r w:rsidRPr="005D028B">
          <w:rPr>
            <w:rStyle w:val="Hyperlink"/>
          </w:rPr>
          <w:t>Goiânia</w:t>
        </w:r>
      </w:hyperlink>
      <w:r w:rsidRPr="00DC24C2">
        <w:rPr>
          <w:bCs/>
        </w:rPr>
        <w:t xml:space="preserve">, </w:t>
      </w:r>
      <w:r w:rsidR="009020F4" w:rsidRPr="00DC24C2">
        <w:rPr>
          <w:bCs/>
        </w:rPr>
        <w:t>qu</w:t>
      </w:r>
      <w:r w:rsidR="009020F4">
        <w:rPr>
          <w:bCs/>
        </w:rPr>
        <w:t>e</w:t>
      </w:r>
      <w:r w:rsidR="009020F4" w:rsidRPr="00DC24C2">
        <w:rPr>
          <w:bCs/>
        </w:rPr>
        <w:t xml:space="preserve"> </w:t>
      </w:r>
      <w:r w:rsidRPr="00DC24C2">
        <w:rPr>
          <w:bCs/>
        </w:rPr>
        <w:t>derrubou</w:t>
      </w:r>
      <w:r w:rsidR="009020F4" w:rsidRPr="00DC24C2">
        <w:rPr>
          <w:bCs/>
        </w:rPr>
        <w:t xml:space="preserve">, por unanimidade, </w:t>
      </w:r>
      <w:r w:rsidRPr="00DC24C2">
        <w:rPr>
          <w:bCs/>
        </w:rPr>
        <w:t>o veto</w:t>
      </w:r>
      <w:r w:rsidR="009020F4">
        <w:rPr>
          <w:bCs/>
        </w:rPr>
        <w:t xml:space="preserve"> </w:t>
      </w:r>
      <w:r w:rsidRPr="00DC24C2">
        <w:rPr>
          <w:bCs/>
        </w:rPr>
        <w:t xml:space="preserve">do Executivo </w:t>
      </w:r>
      <w:r w:rsidR="009020F4">
        <w:rPr>
          <w:bCs/>
        </w:rPr>
        <w:t>M</w:t>
      </w:r>
      <w:r w:rsidR="009020F4" w:rsidRPr="00DC24C2">
        <w:rPr>
          <w:bCs/>
        </w:rPr>
        <w:t xml:space="preserve">unicipal </w:t>
      </w:r>
      <w:r w:rsidRPr="00DC24C2">
        <w:rPr>
          <w:bCs/>
        </w:rPr>
        <w:t>sobre o projeto de autoria v</w:t>
      </w:r>
      <w:r w:rsidRPr="006233A8">
        <w:t xml:space="preserve">ereador </w:t>
      </w:r>
      <w:hyperlink r:id="rId11" w:history="1">
        <w:r w:rsidRPr="005D028B">
          <w:rPr>
            <w:rStyle w:val="Hyperlink"/>
          </w:rPr>
          <w:t xml:space="preserve">Lucas </w:t>
        </w:r>
        <w:proofErr w:type="spellStart"/>
        <w:r w:rsidRPr="005D028B">
          <w:rPr>
            <w:rStyle w:val="Hyperlink"/>
          </w:rPr>
          <w:t>Kitão</w:t>
        </w:r>
        <w:proofErr w:type="spellEnd"/>
      </w:hyperlink>
      <w:r w:rsidR="005D028B">
        <w:t xml:space="preserve"> </w:t>
      </w:r>
      <w:r w:rsidRPr="006233A8">
        <w:t>(PSL)</w:t>
      </w:r>
      <w:r w:rsidRPr="00DC24C2">
        <w:rPr>
          <w:bCs/>
        </w:rPr>
        <w:t xml:space="preserve"> que propõe uma política municipal para o uso e distribuição gratuita de medicamentos à base da cannabis.</w:t>
      </w:r>
    </w:p>
    <w:p w14:paraId="60F70A4F" w14:textId="1B788D4C" w:rsidR="00DC24C2" w:rsidRDefault="00DC24C2" w:rsidP="00D76309">
      <w:pPr>
        <w:autoSpaceDE w:val="0"/>
        <w:ind w:firstLine="1418"/>
        <w:jc w:val="both"/>
        <w:rPr>
          <w:bCs/>
        </w:rPr>
      </w:pPr>
      <w:proofErr w:type="spellStart"/>
      <w:r w:rsidRPr="00DC24C2">
        <w:rPr>
          <w:bCs/>
        </w:rPr>
        <w:lastRenderedPageBreak/>
        <w:t>Averigua-se</w:t>
      </w:r>
      <w:proofErr w:type="spellEnd"/>
      <w:r w:rsidRPr="00DC24C2">
        <w:rPr>
          <w:bCs/>
        </w:rPr>
        <w:t xml:space="preserve"> o viés de reparação social do projeto proposto por </w:t>
      </w:r>
      <w:proofErr w:type="spellStart"/>
      <w:r w:rsidRPr="00DC24C2">
        <w:rPr>
          <w:bCs/>
        </w:rPr>
        <w:t>Kitão</w:t>
      </w:r>
      <w:proofErr w:type="spellEnd"/>
      <w:r w:rsidRPr="00DC24C2">
        <w:rPr>
          <w:bCs/>
        </w:rPr>
        <w:t xml:space="preserve"> (PSL) na medida em que sua justifica é utilizada como um suporte deste Projeto de Lei, quando afirma que “a Câmara está alinhada com a sociedade. [e que sua cidade] Goiânia merece esse tratamento inovador para as famílias de baixa renda”, alertando para o </w:t>
      </w:r>
      <w:r w:rsidR="009020F4">
        <w:rPr>
          <w:bCs/>
        </w:rPr>
        <w:t>fato</w:t>
      </w:r>
      <w:r w:rsidR="009020F4" w:rsidRPr="00DC24C2">
        <w:rPr>
          <w:bCs/>
        </w:rPr>
        <w:t xml:space="preserve"> </w:t>
      </w:r>
      <w:r w:rsidRPr="00DC24C2">
        <w:rPr>
          <w:bCs/>
        </w:rPr>
        <w:t>de que muitas pessoas precisam de medicamentos derivados da cannabis e apenas a população mais abastada consegue arcar com seus custos. </w:t>
      </w:r>
    </w:p>
    <w:p w14:paraId="00536D24" w14:textId="0E76436E" w:rsidR="00DC24C2" w:rsidRDefault="00DC24C2" w:rsidP="00DC24C2">
      <w:pPr>
        <w:autoSpaceDE w:val="0"/>
        <w:ind w:firstLine="1418"/>
        <w:jc w:val="both"/>
        <w:rPr>
          <w:bCs/>
        </w:rPr>
      </w:pPr>
      <w:r w:rsidRPr="00DC24C2">
        <w:rPr>
          <w:bCs/>
        </w:rPr>
        <w:t>A acumulação científica sobre a planta já consolidou, pelo menos, os seguintes elementos acerca de seu uso e que foram utilizados como referência em diversas regulamentações no Brasil:</w:t>
      </w:r>
    </w:p>
    <w:p w14:paraId="50269F9D" w14:textId="77777777" w:rsidR="009020F4" w:rsidRPr="00DC24C2" w:rsidRDefault="009020F4" w:rsidP="00DC24C2">
      <w:pPr>
        <w:autoSpaceDE w:val="0"/>
        <w:ind w:firstLine="1418"/>
        <w:jc w:val="both"/>
        <w:rPr>
          <w:bCs/>
        </w:rPr>
      </w:pPr>
    </w:p>
    <w:p w14:paraId="1B8EBBE6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proofErr w:type="spellStart"/>
      <w:r w:rsidRPr="00DC24C2">
        <w:rPr>
          <w:bCs/>
        </w:rPr>
        <w:t>Canabinoides</w:t>
      </w:r>
      <w:proofErr w:type="spellEnd"/>
      <w:r w:rsidRPr="00DC24C2">
        <w:rPr>
          <w:bCs/>
        </w:rPr>
        <w:t xml:space="preserve"> – compostos químicos naturais ou sintéticos que apresentam afinidade pelos receptores </w:t>
      </w:r>
      <w:proofErr w:type="spellStart"/>
      <w:r w:rsidRPr="00DC24C2">
        <w:rPr>
          <w:bCs/>
        </w:rPr>
        <w:t>canabinoides</w:t>
      </w:r>
      <w:proofErr w:type="spellEnd"/>
      <w:r w:rsidRPr="00DC24C2">
        <w:rPr>
          <w:bCs/>
        </w:rPr>
        <w:t xml:space="preserve"> presentes em células humanas e animais; </w:t>
      </w:r>
    </w:p>
    <w:p w14:paraId="4DCB1469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proofErr w:type="spellStart"/>
      <w:r w:rsidRPr="00DC24C2">
        <w:rPr>
          <w:bCs/>
        </w:rPr>
        <w:t>Fitocanabinoides</w:t>
      </w:r>
      <w:proofErr w:type="spellEnd"/>
      <w:r w:rsidRPr="00DC24C2">
        <w:rPr>
          <w:bCs/>
        </w:rPr>
        <w:t xml:space="preserve"> – </w:t>
      </w:r>
      <w:proofErr w:type="spellStart"/>
      <w:r w:rsidRPr="00DC24C2">
        <w:rPr>
          <w:bCs/>
        </w:rPr>
        <w:t>canabinoides</w:t>
      </w:r>
      <w:proofErr w:type="spellEnd"/>
      <w:r w:rsidRPr="00DC24C2">
        <w:rPr>
          <w:bCs/>
        </w:rPr>
        <w:t xml:space="preserve"> que ocorrem naturalmente em plantas de Cannabis. </w:t>
      </w:r>
    </w:p>
    <w:p w14:paraId="02DAEEAB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proofErr w:type="spellStart"/>
      <w:r w:rsidRPr="00DC24C2">
        <w:rPr>
          <w:bCs/>
        </w:rPr>
        <w:t>Psicoatividade</w:t>
      </w:r>
      <w:proofErr w:type="spellEnd"/>
      <w:r w:rsidRPr="00DC24C2">
        <w:rPr>
          <w:bCs/>
        </w:rPr>
        <w:t xml:space="preserve"> – propriedade de substância ou conjunto de substâncias químicas capaz de alterar a psique humana;  </w:t>
      </w:r>
    </w:p>
    <w:p w14:paraId="2402C687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> </w:t>
      </w:r>
      <w:proofErr w:type="spellStart"/>
      <w:r w:rsidRPr="00DC24C2">
        <w:rPr>
          <w:bCs/>
        </w:rPr>
        <w:t>Canabidiol</w:t>
      </w:r>
      <w:proofErr w:type="spellEnd"/>
      <w:r w:rsidRPr="00DC24C2">
        <w:rPr>
          <w:bCs/>
        </w:rPr>
        <w:t xml:space="preserve"> ou CBD – </w:t>
      </w:r>
      <w:proofErr w:type="spellStart"/>
      <w:r w:rsidRPr="00DC24C2">
        <w:rPr>
          <w:bCs/>
        </w:rPr>
        <w:t>fitocanabinoide</w:t>
      </w:r>
      <w:proofErr w:type="spellEnd"/>
      <w:r w:rsidRPr="00DC24C2">
        <w:rPr>
          <w:bCs/>
        </w:rPr>
        <w:t xml:space="preserve"> sem ação psicoativa, com nome químico: 2-[(1R,6</w:t>
      </w:r>
      <w:proofErr w:type="gramStart"/>
      <w:r w:rsidRPr="00DC24C2">
        <w:rPr>
          <w:bCs/>
        </w:rPr>
        <w:t>R)-</w:t>
      </w:r>
      <w:proofErr w:type="gramEnd"/>
      <w:r w:rsidRPr="00DC24C2">
        <w:rPr>
          <w:bCs/>
        </w:rPr>
        <w:t>3-metil-6-(1-metiletenil)-2-ciclohexen-1-il]-5-pentil-1,3-Benzenodiol e fórmula molecular: C21H30O2; </w:t>
      </w:r>
    </w:p>
    <w:p w14:paraId="1986E990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 xml:space="preserve">Tetraidrocanabinol, Δ9-THC ou THC – </w:t>
      </w:r>
      <w:proofErr w:type="spellStart"/>
      <w:r w:rsidRPr="00DC24C2">
        <w:rPr>
          <w:bCs/>
        </w:rPr>
        <w:t>fitocanabinoide</w:t>
      </w:r>
      <w:proofErr w:type="spellEnd"/>
      <w:r w:rsidRPr="00DC24C2">
        <w:rPr>
          <w:bCs/>
        </w:rPr>
        <w:t xml:space="preserve"> com ação psicoativa, com nome químico: (6AR,10</w:t>
      </w:r>
      <w:proofErr w:type="gramStart"/>
      <w:r w:rsidRPr="00DC24C2">
        <w:rPr>
          <w:bCs/>
        </w:rPr>
        <w:t>aR)-</w:t>
      </w:r>
      <w:proofErr w:type="gramEnd"/>
      <w:r w:rsidRPr="00DC24C2">
        <w:rPr>
          <w:bCs/>
        </w:rPr>
        <w:t>6,6,9-trimetil-3-pentil-6a,7,8,10a-tetrahidro-6H-benzo[c]chromen-1-ol e fórmula molecular: C21H30O20; </w:t>
      </w:r>
    </w:p>
    <w:p w14:paraId="67BAEC7D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> Cânhamo industrial – variedade da planta de Cannabis spp. sem ação psicoativa, com teor de Δ9 –THC limitado até 0,3% (três décimos por cento) com base no seu peso seco, utilizado para fins não medicinais; </w:t>
      </w:r>
    </w:p>
    <w:p w14:paraId="090F5393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> Produtos de Cannabis – produtos elaborados a partir de sementes ou de partes da planta de Cannabis, com ou sem acréscimo de outras substâncias. </w:t>
      </w:r>
    </w:p>
    <w:p w14:paraId="2C05F1EA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 xml:space="preserve">Medicamento </w:t>
      </w:r>
      <w:proofErr w:type="spellStart"/>
      <w:r w:rsidRPr="00DC24C2">
        <w:rPr>
          <w:bCs/>
        </w:rPr>
        <w:t>canabinoide</w:t>
      </w:r>
      <w:proofErr w:type="spellEnd"/>
      <w:r w:rsidRPr="00DC24C2">
        <w:rPr>
          <w:bCs/>
        </w:rPr>
        <w:t xml:space="preserve"> – produto farmacêutico, contendo </w:t>
      </w:r>
      <w:proofErr w:type="spellStart"/>
      <w:r w:rsidRPr="00DC24C2">
        <w:rPr>
          <w:bCs/>
        </w:rPr>
        <w:t>canabinoides</w:t>
      </w:r>
      <w:proofErr w:type="spellEnd"/>
      <w:r w:rsidRPr="00DC24C2">
        <w:rPr>
          <w:bCs/>
        </w:rPr>
        <w:t xml:space="preserve"> naturais ou sintéticos, tecnicamente obtido ou elaborado, com finalidade profilática, curativa ou paliativa. </w:t>
      </w:r>
    </w:p>
    <w:p w14:paraId="7B1E6ABB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 xml:space="preserve">Medicamento derivados de Cannabis – medicamento </w:t>
      </w:r>
      <w:proofErr w:type="spellStart"/>
      <w:r w:rsidRPr="00DC24C2">
        <w:rPr>
          <w:bCs/>
        </w:rPr>
        <w:t>canabinoide</w:t>
      </w:r>
      <w:proofErr w:type="spellEnd"/>
      <w:r w:rsidRPr="00DC24C2">
        <w:rPr>
          <w:bCs/>
        </w:rPr>
        <w:t xml:space="preserve"> contendo somente </w:t>
      </w:r>
      <w:proofErr w:type="spellStart"/>
      <w:r w:rsidRPr="00DC24C2">
        <w:rPr>
          <w:bCs/>
        </w:rPr>
        <w:t>canabinoides</w:t>
      </w:r>
      <w:proofErr w:type="spellEnd"/>
      <w:r w:rsidRPr="00DC24C2">
        <w:rPr>
          <w:bCs/>
        </w:rPr>
        <w:t xml:space="preserve"> naturais. </w:t>
      </w:r>
    </w:p>
    <w:p w14:paraId="58F18822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 xml:space="preserve">Medicamento fitoterápico derivado de Cannabis – medicamento </w:t>
      </w:r>
      <w:proofErr w:type="spellStart"/>
      <w:r w:rsidRPr="00DC24C2">
        <w:rPr>
          <w:bCs/>
        </w:rPr>
        <w:t>canabinoide</w:t>
      </w:r>
      <w:proofErr w:type="spellEnd"/>
      <w:r w:rsidRPr="00DC24C2">
        <w:rPr>
          <w:bCs/>
        </w:rPr>
        <w:t xml:space="preserve"> com emprego exclusivo de partes da planta, com segurança e eficácia baseadas em evidências clínicas e com constância de sua qualidade, não contendo substâncias ativas isoladas ou altamente purificadas. </w:t>
      </w:r>
    </w:p>
    <w:p w14:paraId="45007876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>Produto tradicional fitoterápico derivado de Cannabis – produto obtido com emprego exclusivo de matérias-primas ativas da planta cuja segurança e efetividade sejam baseadas em dados de uso seguro e efetivo, publicados na literatura técnico-científica, desde que concebidos para serem utilizados sob prescrição de profissional legalmente habilitado. </w:t>
      </w:r>
    </w:p>
    <w:p w14:paraId="3E1A273A" w14:textId="77777777" w:rsidR="00DC24C2" w:rsidRPr="00DC24C2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>Produtos magistrais fitoterápicos derivados de Cannabis – preparação magistral obtida com emprego exclusivo de matérias-primas ativas da planta, a partir de uma prescrição de profissional habilitado, destinada a um paciente individualizado, e que estabeleça em detalhes sua composição, forma farmacêutica, posologia e modo de usar; </w:t>
      </w:r>
    </w:p>
    <w:p w14:paraId="74C6285E" w14:textId="77777777" w:rsidR="009020F4" w:rsidRDefault="00DC24C2" w:rsidP="00DC24C2">
      <w:pPr>
        <w:numPr>
          <w:ilvl w:val="0"/>
          <w:numId w:val="3"/>
        </w:numPr>
        <w:autoSpaceDE w:val="0"/>
        <w:jc w:val="both"/>
        <w:rPr>
          <w:bCs/>
        </w:rPr>
      </w:pPr>
      <w:r w:rsidRPr="00DC24C2">
        <w:rPr>
          <w:bCs/>
        </w:rPr>
        <w:t xml:space="preserve">Produtos oficinais fitoterápicos derivados de Cannabis – preparação oficinal, obtida com emprego exclusivo de matérias-primas ativas da planta cuja fórmula esteja inscrita no Formulário de Fitoterápicos da Farmacopeia Brasileira ou em outros reconhecidos pelo </w:t>
      </w:r>
      <w:r w:rsidRPr="00DC24C2">
        <w:rPr>
          <w:bCs/>
        </w:rPr>
        <w:lastRenderedPageBreak/>
        <w:t>órgão sanitário federal, desde que concebidos para serem utilizados sob prescrição de profissional legalmente habilitado</w:t>
      </w:r>
      <w:r w:rsidR="009020F4">
        <w:rPr>
          <w:bCs/>
        </w:rPr>
        <w:t>.</w:t>
      </w:r>
    </w:p>
    <w:p w14:paraId="4A83E957" w14:textId="77777777" w:rsidR="009020F4" w:rsidRDefault="009020F4" w:rsidP="006233A8">
      <w:pPr>
        <w:autoSpaceDE w:val="0"/>
        <w:ind w:left="720"/>
        <w:jc w:val="both"/>
        <w:rPr>
          <w:bCs/>
        </w:rPr>
      </w:pPr>
    </w:p>
    <w:p w14:paraId="3CBA754A" w14:textId="771A6B9B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9020F4">
        <w:t>1</w:t>
      </w:r>
      <w:r w:rsidR="003D0F88">
        <w:t>3</w:t>
      </w:r>
      <w:r w:rsidR="009020F4">
        <w:t xml:space="preserve"> </w:t>
      </w:r>
      <w:r w:rsidR="008B6BF2">
        <w:t xml:space="preserve">de </w:t>
      </w:r>
      <w:r w:rsidR="009020F4">
        <w:t xml:space="preserve">maio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335BA1E9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3E4BE8B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77777777" w:rsidR="008B6BF2" w:rsidRDefault="008B6BF2">
      <w:pPr>
        <w:autoSpaceDE w:val="0"/>
        <w:jc w:val="center"/>
      </w:pPr>
      <w:r>
        <w:t>VEREADOR LEONEL RADDE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3B0454EE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>Cria o</w:t>
      </w:r>
      <w:r w:rsidRPr="009224F7">
        <w:rPr>
          <w:b/>
          <w:bCs/>
        </w:rPr>
        <w:t xml:space="preserve"> Projeto de Promoção e Incentivo a Pesquisas Sobre o Desenvolvimento e os Usos d</w:t>
      </w:r>
      <w:r>
        <w:rPr>
          <w:b/>
          <w:bCs/>
        </w:rPr>
        <w:t>e</w:t>
      </w:r>
      <w:r w:rsidRPr="009224F7">
        <w:rPr>
          <w:b/>
          <w:bCs/>
        </w:rPr>
        <w:t xml:space="preserve"> </w:t>
      </w:r>
      <w:r w:rsidRPr="00D7232F">
        <w:rPr>
          <w:b/>
          <w:bCs/>
        </w:rPr>
        <w:t>Cannabis</w:t>
      </w:r>
      <w:r w:rsidRPr="009224F7">
        <w:rPr>
          <w:b/>
          <w:bCs/>
        </w:rPr>
        <w:t>.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3456158C" w14:textId="05893068" w:rsidR="009224F7" w:rsidRPr="006233A8" w:rsidRDefault="00DC24C2" w:rsidP="009224F7">
      <w:pPr>
        <w:autoSpaceDE w:val="0"/>
        <w:ind w:firstLine="1418"/>
        <w:jc w:val="both"/>
        <w:rPr>
          <w:bCs/>
        </w:rPr>
      </w:pPr>
      <w:r w:rsidRPr="00DC24C2">
        <w:rPr>
          <w:b/>
          <w:bCs/>
        </w:rPr>
        <w:t> Art.</w:t>
      </w:r>
      <w:r w:rsidR="009224F7">
        <w:rPr>
          <w:b/>
          <w:bCs/>
        </w:rPr>
        <w:t xml:space="preserve"> 1</w:t>
      </w:r>
      <w:proofErr w:type="gramStart"/>
      <w:r w:rsidR="009224F7">
        <w:rPr>
          <w:b/>
          <w:bCs/>
        </w:rPr>
        <w:t>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9224F7" w:rsidRPr="006233A8">
        <w:rPr>
          <w:bCs/>
        </w:rPr>
        <w:t>Fica</w:t>
      </w:r>
      <w:proofErr w:type="gramEnd"/>
      <w:r w:rsidR="009224F7" w:rsidRPr="006233A8">
        <w:rPr>
          <w:bCs/>
        </w:rPr>
        <w:t xml:space="preserve"> criado o </w:t>
      </w:r>
      <w:r w:rsidR="00B90DE4">
        <w:rPr>
          <w:bCs/>
        </w:rPr>
        <w:t>Projeto de Promoção e Incentivo a Pesquisas</w:t>
      </w:r>
      <w:r w:rsidR="009224F7" w:rsidRPr="006233A8">
        <w:rPr>
          <w:bCs/>
        </w:rPr>
        <w:t xml:space="preserve"> sobre o Desenvolvimento e os Usos d</w:t>
      </w:r>
      <w:r w:rsidR="00150981">
        <w:rPr>
          <w:bCs/>
        </w:rPr>
        <w:t>e</w:t>
      </w:r>
      <w:r w:rsidR="009224F7" w:rsidRPr="006233A8">
        <w:rPr>
          <w:bCs/>
        </w:rPr>
        <w:t xml:space="preserve"> Cannabis</w:t>
      </w:r>
      <w:r w:rsidR="009224F7">
        <w:rPr>
          <w:bCs/>
        </w:rPr>
        <w:t>,</w:t>
      </w:r>
      <w:r w:rsidR="009224F7" w:rsidRPr="006233A8">
        <w:rPr>
          <w:bCs/>
          <w:i/>
        </w:rPr>
        <w:t xml:space="preserve"> </w:t>
      </w:r>
      <w:r w:rsidR="009224F7">
        <w:rPr>
          <w:bCs/>
        </w:rPr>
        <w:t>com o</w:t>
      </w:r>
      <w:r w:rsidR="009224F7" w:rsidRPr="006233A8">
        <w:rPr>
          <w:bCs/>
        </w:rPr>
        <w:t xml:space="preserve"> objetivo</w:t>
      </w:r>
      <w:r w:rsidR="009224F7">
        <w:rPr>
          <w:bCs/>
        </w:rPr>
        <w:t xml:space="preserve"> de</w:t>
      </w:r>
      <w:r w:rsidR="009224F7" w:rsidRPr="006233A8">
        <w:rPr>
          <w:bCs/>
        </w:rPr>
        <w:t xml:space="preserve"> consolidar o acúmulo científico sobre </w:t>
      </w:r>
      <w:r w:rsidR="009224F7">
        <w:rPr>
          <w:bCs/>
        </w:rPr>
        <w:t>seu</w:t>
      </w:r>
      <w:r w:rsidR="009224F7" w:rsidRPr="006233A8">
        <w:rPr>
          <w:bCs/>
        </w:rPr>
        <w:t>s usos farmacêutico, medicinal e industrial</w:t>
      </w:r>
      <w:r w:rsidR="009224F7">
        <w:rPr>
          <w:bCs/>
        </w:rPr>
        <w:t>.</w:t>
      </w:r>
      <w:r w:rsidR="009224F7" w:rsidRPr="006233A8">
        <w:rPr>
          <w:bCs/>
        </w:rPr>
        <w:t xml:space="preserve"> </w:t>
      </w:r>
    </w:p>
    <w:p w14:paraId="7DE9B199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</w:p>
    <w:p w14:paraId="3ECB8B90" w14:textId="4B8837FB" w:rsidR="009224F7" w:rsidRPr="009224F7" w:rsidRDefault="009224F7" w:rsidP="009224F7">
      <w:pPr>
        <w:autoSpaceDE w:val="0"/>
        <w:ind w:firstLine="1418"/>
        <w:jc w:val="both"/>
        <w:rPr>
          <w:b/>
          <w:bCs/>
        </w:rPr>
      </w:pPr>
      <w:r>
        <w:rPr>
          <w:b/>
          <w:bCs/>
        </w:rPr>
        <w:t>§</w:t>
      </w:r>
      <w:r w:rsidRPr="009224F7">
        <w:rPr>
          <w:b/>
          <w:bCs/>
        </w:rPr>
        <w:t xml:space="preserve"> 1</w:t>
      </w:r>
      <w:proofErr w:type="gramStart"/>
      <w:r w:rsidRPr="009224F7">
        <w:rPr>
          <w:b/>
          <w:bCs/>
        </w:rPr>
        <w:t xml:space="preserve">º </w:t>
      </w:r>
      <w:r>
        <w:rPr>
          <w:b/>
          <w:bCs/>
        </w:rPr>
        <w:t xml:space="preserve"> </w:t>
      </w:r>
      <w:r w:rsidRPr="006233A8">
        <w:rPr>
          <w:bCs/>
        </w:rPr>
        <w:t>Para</w:t>
      </w:r>
      <w:proofErr w:type="gramEnd"/>
      <w:r w:rsidRPr="006233A8">
        <w:rPr>
          <w:bCs/>
        </w:rPr>
        <w:t xml:space="preserve"> o fim do Projeto criado </w:t>
      </w:r>
      <w:r w:rsidR="00DD370C">
        <w:rPr>
          <w:bCs/>
        </w:rPr>
        <w:t xml:space="preserve">no </w:t>
      </w:r>
      <w:r w:rsidR="00DD370C" w:rsidRPr="00DD370C">
        <w:rPr>
          <w:bCs/>
          <w:i/>
          <w:iCs/>
        </w:rPr>
        <w:t>caput</w:t>
      </w:r>
      <w:r w:rsidR="00DD370C">
        <w:rPr>
          <w:bCs/>
        </w:rPr>
        <w:t xml:space="preserve"> deste artigo</w:t>
      </w:r>
      <w:r w:rsidRPr="006233A8">
        <w:rPr>
          <w:bCs/>
        </w:rPr>
        <w:t xml:space="preserve">, fica estabelecido que é livre a atividade de pesquisa com plantas de </w:t>
      </w:r>
      <w:r w:rsidRPr="006233A8">
        <w:rPr>
          <w:bCs/>
          <w:i/>
        </w:rPr>
        <w:t>cannabis</w:t>
      </w:r>
      <w:r w:rsidRPr="006233A8">
        <w:rPr>
          <w:bCs/>
        </w:rPr>
        <w:t xml:space="preserve"> e seus derivados, no âmbito do Município de Porto Alegre, observado o disposto nesta Lei e nos demais instrumentos legais, normativos e regulatórios correspondentes.</w:t>
      </w:r>
      <w:r w:rsidRPr="009224F7">
        <w:rPr>
          <w:b/>
          <w:bCs/>
        </w:rPr>
        <w:t> </w:t>
      </w:r>
    </w:p>
    <w:p w14:paraId="094F35B1" w14:textId="77777777" w:rsidR="009224F7" w:rsidRDefault="009224F7" w:rsidP="009224F7">
      <w:pPr>
        <w:autoSpaceDE w:val="0"/>
        <w:ind w:firstLine="1418"/>
        <w:jc w:val="both"/>
        <w:rPr>
          <w:b/>
          <w:bCs/>
        </w:rPr>
      </w:pPr>
    </w:p>
    <w:p w14:paraId="4B6E8C4B" w14:textId="6CCBF505" w:rsidR="009224F7" w:rsidRPr="006233A8" w:rsidRDefault="00D7232F" w:rsidP="00D7232F">
      <w:pPr>
        <w:autoSpaceDE w:val="0"/>
        <w:ind w:firstLine="1418"/>
        <w:jc w:val="both"/>
        <w:rPr>
          <w:bCs/>
        </w:rPr>
      </w:pPr>
      <w:r>
        <w:rPr>
          <w:b/>
          <w:bCs/>
        </w:rPr>
        <w:t>§</w:t>
      </w:r>
      <w:r w:rsidRPr="009224F7">
        <w:rPr>
          <w:b/>
          <w:bCs/>
        </w:rPr>
        <w:t xml:space="preserve"> </w:t>
      </w:r>
      <w:r>
        <w:rPr>
          <w:b/>
          <w:bCs/>
        </w:rPr>
        <w:t>2</w:t>
      </w:r>
      <w:proofErr w:type="gramStart"/>
      <w:r w:rsidRPr="009224F7">
        <w:rPr>
          <w:b/>
          <w:bCs/>
        </w:rPr>
        <w:t xml:space="preserve">º </w:t>
      </w:r>
      <w:r>
        <w:rPr>
          <w:b/>
          <w:bCs/>
        </w:rPr>
        <w:t xml:space="preserve"> </w:t>
      </w:r>
      <w:r w:rsidR="009224F7" w:rsidRPr="006233A8">
        <w:rPr>
          <w:bCs/>
        </w:rPr>
        <w:t>Para</w:t>
      </w:r>
      <w:proofErr w:type="gramEnd"/>
      <w:r w:rsidRPr="006233A8">
        <w:rPr>
          <w:bCs/>
        </w:rPr>
        <w:t xml:space="preserve"> os</w:t>
      </w:r>
      <w:r w:rsidR="009224F7" w:rsidRPr="006233A8">
        <w:rPr>
          <w:bCs/>
        </w:rPr>
        <w:t xml:space="preserve"> efeitos desta </w:t>
      </w:r>
      <w:r w:rsidR="00B90DE4">
        <w:rPr>
          <w:bCs/>
        </w:rPr>
        <w:t>L</w:t>
      </w:r>
      <w:r w:rsidR="009224F7" w:rsidRPr="006233A8">
        <w:rPr>
          <w:bCs/>
        </w:rPr>
        <w:t>ei,</w:t>
      </w:r>
      <w:r w:rsidRPr="006233A8">
        <w:rPr>
          <w:bCs/>
        </w:rPr>
        <w:t xml:space="preserve"> considera-se</w:t>
      </w:r>
      <w:r w:rsidR="009224F7" w:rsidRPr="006233A8">
        <w:rPr>
          <w:bCs/>
        </w:rPr>
        <w:t xml:space="preserve"> </w:t>
      </w:r>
      <w:r w:rsidRPr="006233A8">
        <w:rPr>
          <w:bCs/>
        </w:rPr>
        <w:t xml:space="preserve">e refere-se por </w:t>
      </w:r>
      <w:r w:rsidR="009224F7" w:rsidRPr="006233A8">
        <w:rPr>
          <w:bCs/>
        </w:rPr>
        <w:t xml:space="preserve">cannabis qualquer uma das variedades da planta do gênero </w:t>
      </w:r>
      <w:r w:rsidRPr="006233A8">
        <w:rPr>
          <w:bCs/>
          <w:i/>
        </w:rPr>
        <w:t>cannabis</w:t>
      </w:r>
      <w:r w:rsidR="009224F7" w:rsidRPr="006233A8">
        <w:rPr>
          <w:bCs/>
        </w:rPr>
        <w:t>. </w:t>
      </w:r>
    </w:p>
    <w:p w14:paraId="6B0904FE" w14:textId="77777777" w:rsidR="009224F7" w:rsidRPr="009224F7" w:rsidRDefault="009224F7" w:rsidP="009224F7">
      <w:pPr>
        <w:autoSpaceDE w:val="0"/>
        <w:ind w:firstLine="1418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541165C1" w14:textId="520F8229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9224F7">
        <w:rPr>
          <w:b/>
          <w:bCs/>
        </w:rPr>
        <w:t>Art</w:t>
      </w:r>
      <w:r w:rsidR="00F127A2">
        <w:rPr>
          <w:b/>
          <w:bCs/>
        </w:rPr>
        <w:t>.</w:t>
      </w:r>
      <w:r w:rsidRPr="009224F7">
        <w:rPr>
          <w:b/>
          <w:bCs/>
        </w:rPr>
        <w:t xml:space="preserve"> </w:t>
      </w:r>
      <w:r w:rsidR="003C5322">
        <w:rPr>
          <w:b/>
          <w:bCs/>
        </w:rPr>
        <w:t>2</w:t>
      </w:r>
      <w:proofErr w:type="gramStart"/>
      <w:r w:rsidR="003C5322">
        <w:rPr>
          <w:b/>
          <w:bCs/>
        </w:rPr>
        <w:t>º</w:t>
      </w:r>
      <w:r w:rsidR="003C5322" w:rsidRPr="009224F7">
        <w:rPr>
          <w:b/>
          <w:bCs/>
        </w:rPr>
        <w:t xml:space="preserve"> </w:t>
      </w:r>
      <w:r w:rsidR="003C5322">
        <w:rPr>
          <w:b/>
          <w:bCs/>
        </w:rPr>
        <w:t xml:space="preserve"> </w:t>
      </w:r>
      <w:r w:rsidRPr="006233A8">
        <w:rPr>
          <w:bCs/>
        </w:rPr>
        <w:t>São</w:t>
      </w:r>
      <w:proofErr w:type="gramEnd"/>
      <w:r w:rsidRPr="006233A8">
        <w:rPr>
          <w:bCs/>
        </w:rPr>
        <w:t xml:space="preserve"> objetivos do </w:t>
      </w:r>
      <w:r w:rsidR="00B90DE4">
        <w:rPr>
          <w:bCs/>
        </w:rPr>
        <w:t>Projeto de Promoção e Incentivo a Pesquisas</w:t>
      </w:r>
      <w:r w:rsidRPr="006233A8">
        <w:rPr>
          <w:bCs/>
        </w:rPr>
        <w:t xml:space="preserve"> sobre o Desenvolvimento e os Usos d</w:t>
      </w:r>
      <w:r w:rsidR="00150981">
        <w:rPr>
          <w:bCs/>
        </w:rPr>
        <w:t>e</w:t>
      </w:r>
      <w:r w:rsidRPr="006233A8">
        <w:rPr>
          <w:bCs/>
        </w:rPr>
        <w:t xml:space="preserve"> Cannabis:</w:t>
      </w:r>
    </w:p>
    <w:p w14:paraId="541B1247" w14:textId="2D990AC8" w:rsidR="00150981" w:rsidRPr="006233A8" w:rsidRDefault="00150981" w:rsidP="006233A8">
      <w:pPr>
        <w:tabs>
          <w:tab w:val="left" w:pos="7200"/>
        </w:tabs>
        <w:autoSpaceDE w:val="0"/>
        <w:ind w:firstLine="1418"/>
        <w:jc w:val="both"/>
        <w:rPr>
          <w:bCs/>
        </w:rPr>
      </w:pPr>
      <w:r w:rsidRPr="006233A8">
        <w:rPr>
          <w:bCs/>
        </w:rPr>
        <w:tab/>
      </w:r>
    </w:p>
    <w:p w14:paraId="3A798317" w14:textId="246B5922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 </w:t>
      </w:r>
      <w:r w:rsidR="00150981" w:rsidRPr="006233A8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estimular</w:t>
      </w:r>
      <w:proofErr w:type="gramEnd"/>
      <w:r w:rsidRPr="006233A8">
        <w:rPr>
          <w:bCs/>
        </w:rPr>
        <w:t xml:space="preserve"> a produção de pesquisas científicas direcionadas aos pacientes que utilizam cannabis para tratar e amenizar sintomas de patologias; </w:t>
      </w:r>
    </w:p>
    <w:p w14:paraId="62A6EB5C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38A018BD" w14:textId="7903D32F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II </w:t>
      </w:r>
      <w:r w:rsidR="00150981" w:rsidRPr="006233A8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incentivar</w:t>
      </w:r>
      <w:proofErr w:type="gramEnd"/>
      <w:r w:rsidRPr="006233A8">
        <w:rPr>
          <w:bCs/>
        </w:rPr>
        <w:t xml:space="preserve"> a realização de pesquisas sobre os potenciais do uso industrial d</w:t>
      </w:r>
      <w:r w:rsidR="00150981">
        <w:rPr>
          <w:bCs/>
        </w:rPr>
        <w:t>e</w:t>
      </w:r>
      <w:r w:rsidRPr="006233A8">
        <w:rPr>
          <w:bCs/>
        </w:rPr>
        <w:t xml:space="preserve"> cannabis, incluindo a indústrias </w:t>
      </w:r>
      <w:r w:rsidR="00150981" w:rsidRPr="00150981">
        <w:rPr>
          <w:bCs/>
        </w:rPr>
        <w:t>têxtil</w:t>
      </w:r>
      <w:r w:rsidRPr="006233A8">
        <w:rPr>
          <w:bCs/>
        </w:rPr>
        <w:t xml:space="preserve">, celulose, energética, </w:t>
      </w:r>
      <w:r w:rsidR="00150981" w:rsidRPr="00150981">
        <w:rPr>
          <w:bCs/>
        </w:rPr>
        <w:t>socioambiental</w:t>
      </w:r>
      <w:r w:rsidRPr="006233A8">
        <w:rPr>
          <w:bCs/>
        </w:rPr>
        <w:t>, cosméticos, alimentícia, sem excluir as demais áreas técnico-científica do conhecimento humano;</w:t>
      </w:r>
    </w:p>
    <w:p w14:paraId="70E1EF36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26A2E1AE" w14:textId="2F337AAE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III </w:t>
      </w:r>
      <w:r w:rsidR="00150981" w:rsidRPr="006233A8">
        <w:rPr>
          <w:bCs/>
        </w:rPr>
        <w:t>–</w:t>
      </w:r>
      <w:r w:rsidRPr="006233A8">
        <w:rPr>
          <w:bCs/>
        </w:rPr>
        <w:t xml:space="preserve"> divulgar informações e oferecer suporte técnico institucional a pacientes autorizados pela Agência Nacional de Vigilância Sanitária (</w:t>
      </w:r>
      <w:r w:rsidR="00150981" w:rsidRPr="006233A8">
        <w:rPr>
          <w:bCs/>
        </w:rPr>
        <w:t>A</w:t>
      </w:r>
      <w:r w:rsidR="00150981">
        <w:rPr>
          <w:bCs/>
        </w:rPr>
        <w:t>nvisa</w:t>
      </w:r>
      <w:r w:rsidRPr="006233A8">
        <w:rPr>
          <w:bCs/>
        </w:rPr>
        <w:t>) ou pela justiça;</w:t>
      </w:r>
    </w:p>
    <w:p w14:paraId="51B89BD0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323E5EF8" w14:textId="6F41E6E4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IV </w:t>
      </w:r>
      <w:r w:rsidR="00150981" w:rsidRPr="006233A8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promover</w:t>
      </w:r>
      <w:proofErr w:type="gramEnd"/>
      <w:r w:rsidRPr="006233A8">
        <w:rPr>
          <w:bCs/>
        </w:rPr>
        <w:t xml:space="preserve"> a reparação histórica e social das populações mais afetadas pela criminalização e </w:t>
      </w:r>
      <w:r w:rsidR="00150981">
        <w:rPr>
          <w:bCs/>
        </w:rPr>
        <w:t xml:space="preserve">pelo </w:t>
      </w:r>
      <w:r w:rsidRPr="006233A8">
        <w:rPr>
          <w:bCs/>
        </w:rPr>
        <w:t xml:space="preserve">vácuo científico sobre os usos e </w:t>
      </w:r>
      <w:r w:rsidR="00150981">
        <w:rPr>
          <w:bCs/>
        </w:rPr>
        <w:t xml:space="preserve">o </w:t>
      </w:r>
      <w:r w:rsidRPr="006233A8">
        <w:rPr>
          <w:bCs/>
        </w:rPr>
        <w:t>desenvolvimento d</w:t>
      </w:r>
      <w:r w:rsidR="00150981">
        <w:rPr>
          <w:bCs/>
        </w:rPr>
        <w:t>e cannabis</w:t>
      </w:r>
      <w:r w:rsidRPr="006233A8">
        <w:rPr>
          <w:bCs/>
        </w:rPr>
        <w:t xml:space="preserve"> por meio de políticas públicas direcionadas às populações em situação de vulnerabilidade social;  </w:t>
      </w:r>
    </w:p>
    <w:p w14:paraId="1DCE12DB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05B62F55" w14:textId="514E535B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V </w:t>
      </w:r>
      <w:r w:rsidR="00150981" w:rsidRPr="006233A8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promover</w:t>
      </w:r>
      <w:proofErr w:type="gramEnd"/>
      <w:r w:rsidRPr="006233A8">
        <w:rPr>
          <w:bCs/>
        </w:rPr>
        <w:t xml:space="preserve"> a divulgação científica sobre os usos e o desenvolvimento d</w:t>
      </w:r>
      <w:r w:rsidR="00150981">
        <w:rPr>
          <w:bCs/>
        </w:rPr>
        <w:t>e</w:t>
      </w:r>
      <w:r w:rsidRPr="006233A8">
        <w:rPr>
          <w:bCs/>
        </w:rPr>
        <w:t xml:space="preserve"> cannabis </w:t>
      </w:r>
      <w:r w:rsidR="00150981">
        <w:rPr>
          <w:bCs/>
        </w:rPr>
        <w:t>por meio</w:t>
      </w:r>
      <w:r w:rsidR="00150981" w:rsidRPr="006233A8">
        <w:rPr>
          <w:bCs/>
        </w:rPr>
        <w:t xml:space="preserve"> </w:t>
      </w:r>
      <w:r w:rsidRPr="006233A8">
        <w:rPr>
          <w:bCs/>
        </w:rPr>
        <w:t>da produção de pesquisas científicas que visem</w:t>
      </w:r>
      <w:r w:rsidR="00150981">
        <w:rPr>
          <w:bCs/>
        </w:rPr>
        <w:t xml:space="preserve"> a</w:t>
      </w:r>
      <w:r w:rsidRPr="006233A8">
        <w:rPr>
          <w:bCs/>
        </w:rPr>
        <w:t xml:space="preserve"> orientar pacientes e seus familiares acerca da dosagem e </w:t>
      </w:r>
      <w:r w:rsidR="00150981">
        <w:rPr>
          <w:bCs/>
        </w:rPr>
        <w:t xml:space="preserve">da </w:t>
      </w:r>
      <w:r w:rsidRPr="006233A8">
        <w:rPr>
          <w:bCs/>
        </w:rPr>
        <w:t>qualidade dos remédios importados ou produzidos no país,</w:t>
      </w:r>
      <w:r w:rsidR="00150981">
        <w:rPr>
          <w:bCs/>
        </w:rPr>
        <w:t xml:space="preserve"> entre outras informações,</w:t>
      </w:r>
      <w:r w:rsidRPr="006233A8">
        <w:rPr>
          <w:bCs/>
        </w:rPr>
        <w:t xml:space="preserve"> a fim de assegurar o controle de qualidade desses produtos</w:t>
      </w:r>
      <w:r w:rsidR="003C5322">
        <w:rPr>
          <w:bCs/>
        </w:rPr>
        <w:t>; e</w:t>
      </w:r>
    </w:p>
    <w:p w14:paraId="39428634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482346D1" w14:textId="42156E56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V</w:t>
      </w:r>
      <w:r w:rsidR="00F127A2">
        <w:rPr>
          <w:bCs/>
        </w:rPr>
        <w:t>I</w:t>
      </w:r>
      <w:r w:rsidRPr="006233A8">
        <w:rPr>
          <w:bCs/>
        </w:rPr>
        <w:t xml:space="preserve"> </w:t>
      </w:r>
      <w:r w:rsidR="00150981" w:rsidRPr="006233A8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apoiar e incentivar</w:t>
      </w:r>
      <w:proofErr w:type="gramEnd"/>
      <w:r w:rsidRPr="006233A8">
        <w:rPr>
          <w:bCs/>
        </w:rPr>
        <w:t xml:space="preserve"> o associativismo por meio da parceria com as associações de pacientes para a produção </w:t>
      </w:r>
      <w:r w:rsidR="00150981" w:rsidRPr="006233A8">
        <w:rPr>
          <w:bCs/>
        </w:rPr>
        <w:t>d</w:t>
      </w:r>
      <w:r w:rsidR="00150981">
        <w:rPr>
          <w:bCs/>
        </w:rPr>
        <w:t>e</w:t>
      </w:r>
      <w:r w:rsidR="00150981" w:rsidRPr="006233A8">
        <w:rPr>
          <w:bCs/>
        </w:rPr>
        <w:t xml:space="preserve"> </w:t>
      </w:r>
      <w:r w:rsidRPr="006233A8">
        <w:rPr>
          <w:bCs/>
        </w:rPr>
        <w:t>cannabis para doação às instituições de pesquisa</w:t>
      </w:r>
      <w:r w:rsidR="003C5322">
        <w:rPr>
          <w:bCs/>
        </w:rPr>
        <w:t>,</w:t>
      </w:r>
      <w:r w:rsidRPr="006233A8">
        <w:rPr>
          <w:bCs/>
        </w:rPr>
        <w:t xml:space="preserve"> com a devida </w:t>
      </w:r>
      <w:r w:rsidRPr="006233A8">
        <w:rPr>
          <w:bCs/>
        </w:rPr>
        <w:lastRenderedPageBreak/>
        <w:t xml:space="preserve">autorização da </w:t>
      </w:r>
      <w:r w:rsidR="00150981" w:rsidRPr="006233A8">
        <w:rPr>
          <w:bCs/>
        </w:rPr>
        <w:t>A</w:t>
      </w:r>
      <w:r w:rsidR="00150981">
        <w:rPr>
          <w:bCs/>
        </w:rPr>
        <w:t>nvisa</w:t>
      </w:r>
      <w:r w:rsidRPr="006233A8">
        <w:rPr>
          <w:bCs/>
        </w:rPr>
        <w:t xml:space="preserve">, ou </w:t>
      </w:r>
      <w:r w:rsidR="003C5322">
        <w:rPr>
          <w:bCs/>
        </w:rPr>
        <w:t>com as</w:t>
      </w:r>
      <w:r w:rsidR="003C5322" w:rsidRPr="006233A8">
        <w:rPr>
          <w:bCs/>
        </w:rPr>
        <w:t xml:space="preserve"> </w:t>
      </w:r>
      <w:r w:rsidRPr="006233A8">
        <w:rPr>
          <w:bCs/>
        </w:rPr>
        <w:t>famílias que possu</w:t>
      </w:r>
      <w:r w:rsidR="006E6F24">
        <w:rPr>
          <w:bCs/>
        </w:rPr>
        <w:t>a</w:t>
      </w:r>
      <w:r w:rsidRPr="006233A8">
        <w:rPr>
          <w:bCs/>
        </w:rPr>
        <w:t>m autorização judicial para cultivar dentro das suas casas.</w:t>
      </w:r>
    </w:p>
    <w:p w14:paraId="0C60962C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706DCC14" w14:textId="2E4780A8" w:rsidR="009224F7" w:rsidRPr="006233A8" w:rsidRDefault="003C5322" w:rsidP="009224F7">
      <w:pPr>
        <w:autoSpaceDE w:val="0"/>
        <w:ind w:firstLine="1418"/>
        <w:jc w:val="both"/>
        <w:rPr>
          <w:bCs/>
        </w:rPr>
      </w:pPr>
      <w:r>
        <w:rPr>
          <w:b/>
          <w:bCs/>
        </w:rPr>
        <w:t>Art. 3</w:t>
      </w:r>
      <w:proofErr w:type="gramStart"/>
      <w:r w:rsidR="009224F7" w:rsidRPr="009224F7">
        <w:rPr>
          <w:b/>
          <w:bCs/>
        </w:rPr>
        <w:t xml:space="preserve">º </w:t>
      </w:r>
      <w:r>
        <w:rPr>
          <w:b/>
          <w:bCs/>
        </w:rPr>
        <w:t xml:space="preserve"> </w:t>
      </w:r>
      <w:r w:rsidR="009224F7" w:rsidRPr="006233A8">
        <w:rPr>
          <w:bCs/>
        </w:rPr>
        <w:t>Para</w:t>
      </w:r>
      <w:proofErr w:type="gramEnd"/>
      <w:r w:rsidR="009224F7" w:rsidRPr="006233A8">
        <w:rPr>
          <w:bCs/>
        </w:rPr>
        <w:t xml:space="preserve"> </w:t>
      </w:r>
      <w:r>
        <w:rPr>
          <w:bCs/>
        </w:rPr>
        <w:t xml:space="preserve">os </w:t>
      </w:r>
      <w:r w:rsidR="009224F7" w:rsidRPr="006233A8">
        <w:rPr>
          <w:bCs/>
        </w:rPr>
        <w:t xml:space="preserve">efeitos </w:t>
      </w:r>
      <w:r w:rsidRPr="006233A8">
        <w:rPr>
          <w:bCs/>
        </w:rPr>
        <w:t>des</w:t>
      </w:r>
      <w:r>
        <w:rPr>
          <w:bCs/>
        </w:rPr>
        <w:t>t</w:t>
      </w:r>
      <w:r w:rsidRPr="006233A8">
        <w:rPr>
          <w:bCs/>
        </w:rPr>
        <w:t xml:space="preserve">a </w:t>
      </w:r>
      <w:r>
        <w:rPr>
          <w:bCs/>
        </w:rPr>
        <w:t>L</w:t>
      </w:r>
      <w:r w:rsidRPr="006233A8">
        <w:rPr>
          <w:bCs/>
        </w:rPr>
        <w:t>ei</w:t>
      </w:r>
      <w:r w:rsidR="009224F7" w:rsidRPr="006233A8">
        <w:rPr>
          <w:bCs/>
        </w:rPr>
        <w:t>, as pesquisas</w:t>
      </w:r>
      <w:r>
        <w:rPr>
          <w:bCs/>
        </w:rPr>
        <w:t xml:space="preserve"> por ela</w:t>
      </w:r>
      <w:r w:rsidR="009224F7" w:rsidRPr="006233A8">
        <w:rPr>
          <w:bCs/>
        </w:rPr>
        <w:t xml:space="preserve"> incentivadas deverão ocorrer nos seguintes moldes: </w:t>
      </w:r>
    </w:p>
    <w:p w14:paraId="3F3B2103" w14:textId="77777777" w:rsidR="009224F7" w:rsidRPr="009224F7" w:rsidRDefault="009224F7" w:rsidP="009224F7">
      <w:pPr>
        <w:autoSpaceDE w:val="0"/>
        <w:ind w:firstLine="1418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5A6E52C5" w14:textId="2CF11E41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 </w:t>
      </w:r>
      <w:r w:rsidR="003C5322" w:rsidRPr="002F21AC">
        <w:rPr>
          <w:bCs/>
        </w:rPr>
        <w:t xml:space="preserve">– </w:t>
      </w:r>
      <w:proofErr w:type="gramStart"/>
      <w:r w:rsidRPr="006233A8">
        <w:rPr>
          <w:bCs/>
        </w:rPr>
        <w:t>pesquisas</w:t>
      </w:r>
      <w:proofErr w:type="gramEnd"/>
      <w:r w:rsidRPr="006233A8">
        <w:rPr>
          <w:bCs/>
        </w:rPr>
        <w:t xml:space="preserve"> em laboratório em regime de contenção, como parte do processo de pesquisa de plantas sujeitas a controle especial, o que pode englobar, no âmbito experimental, o plantio, a cultura, a colheita, o transporte, a transferência, a importação, a exportação, o armazenamento, o processamento até o desenvolvimento de produtos experimentais, </w:t>
      </w:r>
      <w:r w:rsidR="003C5322">
        <w:rPr>
          <w:bCs/>
        </w:rPr>
        <w:t>bem como</w:t>
      </w:r>
      <w:r w:rsidRPr="006233A8">
        <w:rPr>
          <w:bCs/>
        </w:rPr>
        <w:t xml:space="preserve"> o descarte de plantas e produtos sujeitos a controle especial; </w:t>
      </w:r>
    </w:p>
    <w:p w14:paraId="556A31DF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66081DD6" w14:textId="61FBEEAA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II </w:t>
      </w:r>
      <w:r w:rsidR="003C5322" w:rsidRPr="002F21AC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o</w:t>
      </w:r>
      <w:proofErr w:type="gramEnd"/>
      <w:r w:rsidRPr="006233A8">
        <w:rPr>
          <w:bCs/>
        </w:rPr>
        <w:t xml:space="preserve"> desenvolvimento das pesquisas deve acompanhar a formulação e </w:t>
      </w:r>
      <w:r w:rsidR="003C5322">
        <w:rPr>
          <w:bCs/>
        </w:rPr>
        <w:t xml:space="preserve">a </w:t>
      </w:r>
      <w:r w:rsidRPr="006233A8">
        <w:rPr>
          <w:bCs/>
        </w:rPr>
        <w:t>implementação de um plano de segurança que contemple o perímetro interno e externo das instalações, devendo incluir um plano físico, operacional e de contingência, com vista à prevenção de desvios; </w:t>
      </w:r>
    </w:p>
    <w:p w14:paraId="606D952C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6700B18B" w14:textId="710A474F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III </w:t>
      </w:r>
      <w:r w:rsidR="003C5322" w:rsidRPr="002F21AC">
        <w:rPr>
          <w:bCs/>
        </w:rPr>
        <w:t>–</w:t>
      </w:r>
      <w:r w:rsidRPr="006233A8">
        <w:rPr>
          <w:bCs/>
        </w:rPr>
        <w:t xml:space="preserve"> todas as pesquisas devem possuir um </w:t>
      </w:r>
      <w:r w:rsidR="003C5322">
        <w:rPr>
          <w:bCs/>
        </w:rPr>
        <w:t>r</w:t>
      </w:r>
      <w:r w:rsidRPr="006233A8">
        <w:rPr>
          <w:bCs/>
        </w:rPr>
        <w:t>esponsável</w:t>
      </w:r>
      <w:r w:rsidR="00416611">
        <w:rPr>
          <w:bCs/>
        </w:rPr>
        <w:t xml:space="preserve"> </w:t>
      </w:r>
      <w:r w:rsidRPr="006233A8">
        <w:rPr>
          <w:bCs/>
        </w:rPr>
        <w:t>legal, pessoa física designada em estatuto, contrato social ou ata de constituição</w:t>
      </w:r>
      <w:r w:rsidR="003C5322">
        <w:rPr>
          <w:bCs/>
        </w:rPr>
        <w:t>,</w:t>
      </w:r>
      <w:r w:rsidRPr="006233A8">
        <w:rPr>
          <w:bCs/>
        </w:rPr>
        <w:t xml:space="preserve"> incumbida de representar a pessoa jurídica, ativa e passivamente, nos atos judiciais e extrajudiciais; </w:t>
      </w:r>
    </w:p>
    <w:p w14:paraId="20A8054E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68E032B6" w14:textId="2AC31BD5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IV</w:t>
      </w:r>
      <w:r w:rsidR="00416611">
        <w:rPr>
          <w:bCs/>
        </w:rPr>
        <w:t xml:space="preserve"> </w:t>
      </w:r>
      <w:r w:rsidR="003C5322" w:rsidRPr="002F21AC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todas as</w:t>
      </w:r>
      <w:proofErr w:type="gramEnd"/>
      <w:r w:rsidRPr="006233A8">
        <w:rPr>
          <w:bCs/>
        </w:rPr>
        <w:t xml:space="preserve"> pesquisas devem contar com um </w:t>
      </w:r>
      <w:r w:rsidR="003C5322">
        <w:rPr>
          <w:bCs/>
        </w:rPr>
        <w:t>r</w:t>
      </w:r>
      <w:r w:rsidR="003C5322" w:rsidRPr="006233A8">
        <w:rPr>
          <w:bCs/>
        </w:rPr>
        <w:t xml:space="preserve">esponsável </w:t>
      </w:r>
      <w:r w:rsidRPr="006233A8">
        <w:rPr>
          <w:bCs/>
        </w:rPr>
        <w:t>técnico, profissional de nível superior legalmente habilitado pelo respectivo conselho profissional para exercer a responsabilidade técnica pela atividade que a pessoa jurídica e associações de pacientes realiz</w:t>
      </w:r>
      <w:r w:rsidR="003C5322">
        <w:rPr>
          <w:bCs/>
        </w:rPr>
        <w:t>a</w:t>
      </w:r>
      <w:r w:rsidRPr="006233A8">
        <w:rPr>
          <w:bCs/>
        </w:rPr>
        <w:t xml:space="preserve">m na área relacionada aos produtos produzidos </w:t>
      </w:r>
      <w:r w:rsidR="000D13EE">
        <w:rPr>
          <w:bCs/>
        </w:rPr>
        <w:t>à base</w:t>
      </w:r>
      <w:r w:rsidRPr="006233A8">
        <w:rPr>
          <w:bCs/>
        </w:rPr>
        <w:t xml:space="preserve"> de cannabis;</w:t>
      </w:r>
      <w:r w:rsidR="003C5322">
        <w:rPr>
          <w:bCs/>
        </w:rPr>
        <w:t xml:space="preserve"> e</w:t>
      </w:r>
    </w:p>
    <w:p w14:paraId="7C0664DA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1C57FF40" w14:textId="7A83423D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V</w:t>
      </w:r>
      <w:r w:rsidR="00416611">
        <w:rPr>
          <w:bCs/>
        </w:rPr>
        <w:t xml:space="preserve"> </w:t>
      </w:r>
      <w:r w:rsidR="003C5322" w:rsidRPr="002F21AC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a</w:t>
      </w:r>
      <w:proofErr w:type="gramEnd"/>
      <w:r w:rsidRPr="006233A8">
        <w:rPr>
          <w:bCs/>
        </w:rPr>
        <w:t xml:space="preserve"> matéria prima para as pesquisas deve ser produzida em uma </w:t>
      </w:r>
      <w:r w:rsidR="003C5322">
        <w:rPr>
          <w:bCs/>
        </w:rPr>
        <w:t>c</w:t>
      </w:r>
      <w:r w:rsidR="003C5322" w:rsidRPr="006233A8">
        <w:rPr>
          <w:bCs/>
        </w:rPr>
        <w:t xml:space="preserve">asa </w:t>
      </w:r>
      <w:r w:rsidRPr="006233A8">
        <w:rPr>
          <w:bCs/>
        </w:rPr>
        <w:t xml:space="preserve">de </w:t>
      </w:r>
      <w:r w:rsidR="003C5322">
        <w:rPr>
          <w:bCs/>
        </w:rPr>
        <w:t>v</w:t>
      </w:r>
      <w:r w:rsidR="003C5322" w:rsidRPr="006233A8">
        <w:rPr>
          <w:bCs/>
        </w:rPr>
        <w:t>egetação</w:t>
      </w:r>
      <w:r w:rsidRPr="006233A8">
        <w:rPr>
          <w:bCs/>
        </w:rPr>
        <w:t xml:space="preserve">, local destinado ao plantio </w:t>
      </w:r>
      <w:r w:rsidR="003C5322" w:rsidRPr="006233A8">
        <w:rPr>
          <w:bCs/>
        </w:rPr>
        <w:t>d</w:t>
      </w:r>
      <w:r w:rsidR="003C5322">
        <w:rPr>
          <w:bCs/>
        </w:rPr>
        <w:t>e</w:t>
      </w:r>
      <w:r w:rsidR="003C5322" w:rsidRPr="006233A8">
        <w:rPr>
          <w:bCs/>
        </w:rPr>
        <w:t xml:space="preserve"> </w:t>
      </w:r>
      <w:r w:rsidR="003C5322">
        <w:rPr>
          <w:bCs/>
        </w:rPr>
        <w:t>c</w:t>
      </w:r>
      <w:r w:rsidR="003C5322" w:rsidRPr="006233A8">
        <w:rPr>
          <w:bCs/>
        </w:rPr>
        <w:t>annabis</w:t>
      </w:r>
      <w:r w:rsidRPr="006233A8">
        <w:rPr>
          <w:bCs/>
        </w:rPr>
        <w:t xml:space="preserve">, do tipo estufa ou outra estrutura adequada ao plantio de plantas, desde que projetada e mantida </w:t>
      </w:r>
      <w:r w:rsidR="003C5322">
        <w:rPr>
          <w:bCs/>
        </w:rPr>
        <w:t xml:space="preserve">para </w:t>
      </w:r>
      <w:r w:rsidRPr="006233A8">
        <w:rPr>
          <w:bCs/>
        </w:rPr>
        <w:t xml:space="preserve">impedir o acesso de pessoas não autorizadas, </w:t>
      </w:r>
      <w:r w:rsidR="003C5322" w:rsidRPr="002F21AC">
        <w:rPr>
          <w:bCs/>
        </w:rPr>
        <w:t xml:space="preserve">equipada com sistema de videomonitoramento </w:t>
      </w:r>
      <w:r w:rsidR="003C5322">
        <w:rPr>
          <w:bCs/>
        </w:rPr>
        <w:t>em</w:t>
      </w:r>
      <w:r w:rsidR="003C5322" w:rsidRPr="002F21AC">
        <w:rPr>
          <w:bCs/>
        </w:rPr>
        <w:t xml:space="preserve"> seu interior</w:t>
      </w:r>
      <w:r w:rsidR="003C5322">
        <w:rPr>
          <w:bCs/>
        </w:rPr>
        <w:t>,</w:t>
      </w:r>
      <w:r w:rsidR="003C5322" w:rsidRPr="003C5322">
        <w:rPr>
          <w:bCs/>
        </w:rPr>
        <w:t xml:space="preserve"> </w:t>
      </w:r>
      <w:r w:rsidR="003C5322">
        <w:rPr>
          <w:bCs/>
        </w:rPr>
        <w:t xml:space="preserve">para </w:t>
      </w:r>
      <w:r w:rsidR="003C5322" w:rsidRPr="006233A8">
        <w:rPr>
          <w:bCs/>
        </w:rPr>
        <w:t>garant</w:t>
      </w:r>
      <w:r w:rsidR="003C5322">
        <w:rPr>
          <w:bCs/>
        </w:rPr>
        <w:t>ir</w:t>
      </w:r>
      <w:r w:rsidR="003C5322" w:rsidRPr="006233A8">
        <w:rPr>
          <w:bCs/>
        </w:rPr>
        <w:t xml:space="preserve"> </w:t>
      </w:r>
      <w:r w:rsidRPr="006233A8">
        <w:rPr>
          <w:bCs/>
        </w:rPr>
        <w:t>a contenção</w:t>
      </w:r>
      <w:r w:rsidR="003C5322">
        <w:rPr>
          <w:bCs/>
        </w:rPr>
        <w:t xml:space="preserve"> e para impedir a </w:t>
      </w:r>
      <w:r w:rsidRPr="006233A8">
        <w:rPr>
          <w:bCs/>
        </w:rPr>
        <w:t>disseminação no meio ambiente.</w:t>
      </w:r>
    </w:p>
    <w:p w14:paraId="76E7FE0F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6115D522" w14:textId="3E22B168" w:rsidR="00F36DB2" w:rsidRPr="006233A8" w:rsidRDefault="00D438E6" w:rsidP="00F36DB2">
      <w:pPr>
        <w:autoSpaceDE w:val="0"/>
        <w:ind w:firstLine="1418"/>
        <w:jc w:val="both"/>
        <w:rPr>
          <w:bCs/>
        </w:rPr>
      </w:pPr>
      <w:r>
        <w:rPr>
          <w:b/>
          <w:bCs/>
        </w:rPr>
        <w:t>§ 1º</w:t>
      </w:r>
      <w:r w:rsidR="00F36DB2" w:rsidRPr="009224F7">
        <w:rPr>
          <w:b/>
          <w:bCs/>
        </w:rPr>
        <w:t xml:space="preserve"> </w:t>
      </w:r>
      <w:r w:rsidR="00F36DB2" w:rsidRPr="006233A8">
        <w:rPr>
          <w:bCs/>
        </w:rPr>
        <w:t>As instituições de pesquisa poderão plantar, cultivar, colher, manipular, processar, tran</w:t>
      </w:r>
      <w:r>
        <w:rPr>
          <w:bCs/>
        </w:rPr>
        <w:t>sportar, transferir e armazenar</w:t>
      </w:r>
      <w:r w:rsidR="00F36DB2" w:rsidRPr="006233A8">
        <w:rPr>
          <w:bCs/>
        </w:rPr>
        <w:t xml:space="preserve"> plantas, sementes, mudas e derivados de </w:t>
      </w:r>
      <w:r>
        <w:rPr>
          <w:bCs/>
        </w:rPr>
        <w:t>c</w:t>
      </w:r>
      <w:r w:rsidR="00F36DB2" w:rsidRPr="006233A8">
        <w:rPr>
          <w:bCs/>
        </w:rPr>
        <w:t xml:space="preserve">annabis, bem como importar e exportar sementes e derivados, desde que previamente autorizadas pelo </w:t>
      </w:r>
      <w:r>
        <w:rPr>
          <w:bCs/>
        </w:rPr>
        <w:t>P</w:t>
      </w:r>
      <w:r w:rsidR="00F36DB2" w:rsidRPr="006233A8">
        <w:rPr>
          <w:bCs/>
        </w:rPr>
        <w:t xml:space="preserve">oder </w:t>
      </w:r>
      <w:r>
        <w:rPr>
          <w:bCs/>
        </w:rPr>
        <w:t>P</w:t>
      </w:r>
      <w:r w:rsidR="00F36DB2" w:rsidRPr="006233A8">
        <w:rPr>
          <w:bCs/>
        </w:rPr>
        <w:t>úblico. </w:t>
      </w:r>
    </w:p>
    <w:p w14:paraId="1D9E5DC2" w14:textId="77777777" w:rsidR="00F36DB2" w:rsidRPr="006233A8" w:rsidRDefault="00F36DB2" w:rsidP="00F36DB2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5F7F9E3C" w14:textId="3CB66CE2" w:rsidR="00F36DB2" w:rsidRPr="009224F7" w:rsidRDefault="00F36DB2" w:rsidP="00F36DB2">
      <w:pPr>
        <w:autoSpaceDE w:val="0"/>
        <w:ind w:firstLine="1418"/>
        <w:jc w:val="both"/>
        <w:rPr>
          <w:b/>
          <w:bCs/>
        </w:rPr>
      </w:pPr>
      <w:r w:rsidRPr="009224F7">
        <w:rPr>
          <w:b/>
          <w:bCs/>
        </w:rPr>
        <w:t>§</w:t>
      </w:r>
      <w:r w:rsidR="00D438E6">
        <w:rPr>
          <w:b/>
          <w:bCs/>
        </w:rPr>
        <w:t xml:space="preserve"> 2</w:t>
      </w:r>
      <w:r w:rsidRPr="009224F7">
        <w:rPr>
          <w:b/>
          <w:bCs/>
        </w:rPr>
        <w:t xml:space="preserve">º </w:t>
      </w:r>
      <w:r w:rsidRPr="006233A8">
        <w:rPr>
          <w:bCs/>
        </w:rPr>
        <w:t xml:space="preserve">A autorização para a importação, </w:t>
      </w:r>
      <w:r w:rsidR="00D438E6">
        <w:rPr>
          <w:bCs/>
        </w:rPr>
        <w:t xml:space="preserve">a </w:t>
      </w:r>
      <w:r w:rsidRPr="006233A8">
        <w:rPr>
          <w:bCs/>
        </w:rPr>
        <w:t xml:space="preserve">aquisição e </w:t>
      </w:r>
      <w:r w:rsidR="00D438E6">
        <w:rPr>
          <w:bCs/>
        </w:rPr>
        <w:t xml:space="preserve">o </w:t>
      </w:r>
      <w:r w:rsidRPr="006233A8">
        <w:rPr>
          <w:bCs/>
        </w:rPr>
        <w:t>armazenamento de outros produtos, substâncias e medicament</w:t>
      </w:r>
      <w:r w:rsidR="00D438E6">
        <w:rPr>
          <w:bCs/>
        </w:rPr>
        <w:t>os sujeitos a controle especial</w:t>
      </w:r>
      <w:r w:rsidRPr="006233A8">
        <w:rPr>
          <w:bCs/>
        </w:rPr>
        <w:t xml:space="preserve"> </w:t>
      </w:r>
      <w:r w:rsidR="00D438E6">
        <w:rPr>
          <w:bCs/>
        </w:rPr>
        <w:t>é de responsabilidade Anvisa</w:t>
      </w:r>
      <w:r w:rsidRPr="006233A8">
        <w:rPr>
          <w:bCs/>
        </w:rPr>
        <w:t xml:space="preserve">, </w:t>
      </w:r>
      <w:r w:rsidR="00D438E6">
        <w:rPr>
          <w:bCs/>
        </w:rPr>
        <w:t xml:space="preserve">observada a descrição da </w:t>
      </w:r>
      <w:r w:rsidRPr="006233A8">
        <w:rPr>
          <w:bCs/>
        </w:rPr>
        <w:t>qu</w:t>
      </w:r>
      <w:r w:rsidR="00D438E6">
        <w:rPr>
          <w:bCs/>
        </w:rPr>
        <w:t>antidade necessária</w:t>
      </w:r>
      <w:r w:rsidRPr="006233A8">
        <w:rPr>
          <w:bCs/>
        </w:rPr>
        <w:t xml:space="preserve"> no projeto de pesquisa técnico-científico.</w:t>
      </w:r>
      <w:r w:rsidRPr="009224F7">
        <w:rPr>
          <w:b/>
          <w:bCs/>
        </w:rPr>
        <w:t> </w:t>
      </w:r>
    </w:p>
    <w:p w14:paraId="3DE65DEE" w14:textId="77777777" w:rsidR="00F36DB2" w:rsidRPr="009224F7" w:rsidRDefault="00F36DB2" w:rsidP="00F36DB2">
      <w:pPr>
        <w:autoSpaceDE w:val="0"/>
        <w:ind w:firstLine="1418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49AE5026" w14:textId="53FCB0EE" w:rsidR="00F36DB2" w:rsidRPr="006233A8" w:rsidRDefault="00F36DB2" w:rsidP="00F36DB2">
      <w:pPr>
        <w:autoSpaceDE w:val="0"/>
        <w:ind w:firstLine="1418"/>
        <w:jc w:val="both"/>
        <w:rPr>
          <w:bCs/>
        </w:rPr>
      </w:pPr>
      <w:r w:rsidRPr="009224F7">
        <w:rPr>
          <w:b/>
          <w:bCs/>
        </w:rPr>
        <w:t>§</w:t>
      </w:r>
      <w:r w:rsidR="00416611">
        <w:rPr>
          <w:b/>
          <w:bCs/>
        </w:rPr>
        <w:t xml:space="preserve"> </w:t>
      </w:r>
      <w:r w:rsidR="00D438E6">
        <w:rPr>
          <w:b/>
          <w:bCs/>
        </w:rPr>
        <w:t>3</w:t>
      </w:r>
      <w:proofErr w:type="gramStart"/>
      <w:r w:rsidRPr="009224F7">
        <w:rPr>
          <w:b/>
          <w:bCs/>
        </w:rPr>
        <w:t xml:space="preserve">º </w:t>
      </w:r>
      <w:r w:rsidR="00D438E6">
        <w:rPr>
          <w:b/>
          <w:bCs/>
        </w:rPr>
        <w:t xml:space="preserve"> </w:t>
      </w:r>
      <w:r w:rsidRPr="006233A8">
        <w:rPr>
          <w:bCs/>
        </w:rPr>
        <w:t>Também</w:t>
      </w:r>
      <w:proofErr w:type="gramEnd"/>
      <w:r w:rsidRPr="006233A8">
        <w:rPr>
          <w:bCs/>
        </w:rPr>
        <w:t xml:space="preserve"> poderão obter as autorizações previstas</w:t>
      </w:r>
      <w:r w:rsidR="00D438E6" w:rsidRPr="006233A8">
        <w:rPr>
          <w:bCs/>
        </w:rPr>
        <w:t xml:space="preserve"> no § 2º deste artigo</w:t>
      </w:r>
      <w:r w:rsidRPr="006233A8">
        <w:rPr>
          <w:bCs/>
        </w:rPr>
        <w:t xml:space="preserve"> as pessoas jurídicas e associações de pacientes já autorizadas a plantar, cultivar e colher plantas de </w:t>
      </w:r>
      <w:r w:rsidR="00D438E6" w:rsidRPr="006233A8">
        <w:rPr>
          <w:bCs/>
        </w:rPr>
        <w:t>c</w:t>
      </w:r>
      <w:r w:rsidRPr="006233A8">
        <w:rPr>
          <w:bCs/>
        </w:rPr>
        <w:t>annabis destinadas à elaboração de medicamentos ou de produtos sem fins medicinais. </w:t>
      </w:r>
    </w:p>
    <w:p w14:paraId="4C688728" w14:textId="77777777" w:rsidR="00F36DB2" w:rsidRPr="006233A8" w:rsidRDefault="00F36DB2" w:rsidP="009224F7">
      <w:pPr>
        <w:autoSpaceDE w:val="0"/>
        <w:ind w:firstLine="1418"/>
        <w:jc w:val="both"/>
        <w:rPr>
          <w:bCs/>
        </w:rPr>
      </w:pPr>
    </w:p>
    <w:p w14:paraId="542CB214" w14:textId="77777777" w:rsidR="009224F7" w:rsidRPr="009224F7" w:rsidRDefault="009224F7" w:rsidP="009224F7">
      <w:pPr>
        <w:autoSpaceDE w:val="0"/>
        <w:ind w:firstLine="1418"/>
        <w:jc w:val="both"/>
        <w:rPr>
          <w:b/>
          <w:bCs/>
        </w:rPr>
      </w:pPr>
      <w:r w:rsidRPr="006233A8">
        <w:rPr>
          <w:bCs/>
        </w:rPr>
        <w:t> </w:t>
      </w:r>
    </w:p>
    <w:p w14:paraId="51B87C6F" w14:textId="56054313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9224F7">
        <w:rPr>
          <w:b/>
          <w:bCs/>
        </w:rPr>
        <w:lastRenderedPageBreak/>
        <w:t xml:space="preserve">Art. </w:t>
      </w:r>
      <w:r w:rsidR="00D438E6">
        <w:rPr>
          <w:b/>
          <w:bCs/>
        </w:rPr>
        <w:t>4</w:t>
      </w:r>
      <w:proofErr w:type="gramStart"/>
      <w:r w:rsidR="00EA23A4" w:rsidRPr="009224F7">
        <w:rPr>
          <w:b/>
          <w:bCs/>
        </w:rPr>
        <w:t xml:space="preserve">º </w:t>
      </w:r>
      <w:r w:rsidR="00EA23A4">
        <w:rPr>
          <w:b/>
          <w:bCs/>
        </w:rPr>
        <w:t xml:space="preserve"> </w:t>
      </w:r>
      <w:r w:rsidRPr="006233A8">
        <w:rPr>
          <w:bCs/>
        </w:rPr>
        <w:t>As</w:t>
      </w:r>
      <w:proofErr w:type="gramEnd"/>
      <w:r w:rsidRPr="006233A8">
        <w:rPr>
          <w:bCs/>
        </w:rPr>
        <w:t xml:space="preserve"> iniciativas do </w:t>
      </w:r>
      <w:r w:rsidR="00B90DE4">
        <w:rPr>
          <w:bCs/>
        </w:rPr>
        <w:t>Projeto de Promoção e Incentivo a Pesquisas</w:t>
      </w:r>
      <w:r w:rsidRPr="006233A8">
        <w:rPr>
          <w:bCs/>
        </w:rPr>
        <w:t xml:space="preserve"> sobre o Desenvolvimento e os Usos d</w:t>
      </w:r>
      <w:r w:rsidR="00EA23A4">
        <w:rPr>
          <w:bCs/>
        </w:rPr>
        <w:t>e</w:t>
      </w:r>
      <w:r w:rsidRPr="006233A8">
        <w:rPr>
          <w:bCs/>
        </w:rPr>
        <w:t xml:space="preserve"> Cannabis devem estar estruturadas com base nos seguintes eixos organizacionais: </w:t>
      </w:r>
    </w:p>
    <w:p w14:paraId="2D8A9FFE" w14:textId="77777777" w:rsidR="009224F7" w:rsidRPr="009224F7" w:rsidRDefault="009224F7" w:rsidP="009224F7">
      <w:pPr>
        <w:autoSpaceDE w:val="0"/>
        <w:ind w:firstLine="1418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3A289BCE" w14:textId="22EB07F2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 </w:t>
      </w:r>
      <w:r w:rsidR="00EA23A4" w:rsidRPr="002F21AC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produção</w:t>
      </w:r>
      <w:proofErr w:type="gramEnd"/>
      <w:r w:rsidRPr="006233A8">
        <w:rPr>
          <w:bCs/>
        </w:rPr>
        <w:t xml:space="preserve"> científica sobre o uso e </w:t>
      </w:r>
      <w:r w:rsidR="00BA295F">
        <w:rPr>
          <w:bCs/>
        </w:rPr>
        <w:t xml:space="preserve">o </w:t>
      </w:r>
      <w:r w:rsidRPr="006233A8">
        <w:rPr>
          <w:bCs/>
        </w:rPr>
        <w:t>desenvolvimento</w:t>
      </w:r>
      <w:r w:rsidR="00BA295F">
        <w:rPr>
          <w:bCs/>
        </w:rPr>
        <w:t xml:space="preserve"> de cannabis</w:t>
      </w:r>
      <w:r w:rsidRPr="006233A8">
        <w:rPr>
          <w:bCs/>
        </w:rPr>
        <w:t xml:space="preserve"> com caráter farmacêutico, medicinal e redução de danos;</w:t>
      </w:r>
    </w:p>
    <w:p w14:paraId="42EE0115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3FAC54E7" w14:textId="2D9C9E44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II </w:t>
      </w:r>
      <w:r w:rsidR="00EA23A4" w:rsidRPr="002F21AC">
        <w:rPr>
          <w:bCs/>
        </w:rPr>
        <w:t>–</w:t>
      </w:r>
      <w:r w:rsidRPr="006233A8">
        <w:rPr>
          <w:bCs/>
        </w:rPr>
        <w:t xml:space="preserve"> </w:t>
      </w:r>
      <w:proofErr w:type="gramStart"/>
      <w:r w:rsidRPr="006233A8">
        <w:rPr>
          <w:bCs/>
        </w:rPr>
        <w:t>produção</w:t>
      </w:r>
      <w:proofErr w:type="gramEnd"/>
      <w:r w:rsidRPr="006233A8">
        <w:rPr>
          <w:bCs/>
        </w:rPr>
        <w:t xml:space="preserve"> científica sobre o uso e desenvolvimento </w:t>
      </w:r>
      <w:r w:rsidR="00BA295F">
        <w:rPr>
          <w:bCs/>
        </w:rPr>
        <w:t xml:space="preserve">de cannabis </w:t>
      </w:r>
      <w:r w:rsidRPr="006233A8">
        <w:rPr>
          <w:bCs/>
        </w:rPr>
        <w:t>com caráter industrial;</w:t>
      </w:r>
      <w:r w:rsidR="00BA295F">
        <w:rPr>
          <w:bCs/>
        </w:rPr>
        <w:t xml:space="preserve"> e</w:t>
      </w:r>
    </w:p>
    <w:p w14:paraId="5141E654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682DF822" w14:textId="6C7057E3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 xml:space="preserve">III </w:t>
      </w:r>
      <w:r w:rsidR="00EA23A4" w:rsidRPr="002F21AC">
        <w:rPr>
          <w:bCs/>
        </w:rPr>
        <w:t>–</w:t>
      </w:r>
      <w:r w:rsidRPr="006233A8">
        <w:rPr>
          <w:bCs/>
        </w:rPr>
        <w:t xml:space="preserve"> promoção da reparação histórica e social da população afetada pelo processo de criminalização dos usos de </w:t>
      </w:r>
      <w:r w:rsidRPr="006233A8">
        <w:rPr>
          <w:bCs/>
          <w:i/>
        </w:rPr>
        <w:t xml:space="preserve">cannabis sativa </w:t>
      </w:r>
      <w:proofErr w:type="spellStart"/>
      <w:r w:rsidRPr="006233A8">
        <w:rPr>
          <w:bCs/>
          <w:i/>
        </w:rPr>
        <w:t>ssp</w:t>
      </w:r>
      <w:proofErr w:type="spellEnd"/>
      <w:r w:rsidRPr="006233A8">
        <w:rPr>
          <w:bCs/>
        </w:rPr>
        <w:t xml:space="preserve"> ao longo do processo histórico brasileiro;</w:t>
      </w:r>
    </w:p>
    <w:p w14:paraId="46952577" w14:textId="77777777" w:rsidR="009224F7" w:rsidRPr="009224F7" w:rsidRDefault="009224F7" w:rsidP="009224F7">
      <w:pPr>
        <w:autoSpaceDE w:val="0"/>
        <w:ind w:firstLine="1418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07F69F90" w14:textId="039E43D1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9224F7">
        <w:rPr>
          <w:b/>
          <w:bCs/>
        </w:rPr>
        <w:t xml:space="preserve"> Art. </w:t>
      </w:r>
      <w:r w:rsidR="00D438E6">
        <w:rPr>
          <w:b/>
          <w:bCs/>
        </w:rPr>
        <w:t>5</w:t>
      </w:r>
      <w:r w:rsidR="00D438E6" w:rsidRPr="009224F7">
        <w:rPr>
          <w:b/>
          <w:bCs/>
        </w:rPr>
        <w:t xml:space="preserve">º </w:t>
      </w:r>
      <w:r w:rsidRPr="006233A8">
        <w:rPr>
          <w:bCs/>
        </w:rPr>
        <w:t xml:space="preserve">Os protocolos e requisitos para a realização de ensaios clínicos com medicamentos e produtos </w:t>
      </w:r>
      <w:r w:rsidR="000D13EE">
        <w:rPr>
          <w:bCs/>
        </w:rPr>
        <w:t>à base</w:t>
      </w:r>
      <w:r w:rsidRPr="006233A8">
        <w:rPr>
          <w:bCs/>
        </w:rPr>
        <w:t xml:space="preserve"> de </w:t>
      </w:r>
      <w:r w:rsidR="001C5A7F">
        <w:rPr>
          <w:bCs/>
        </w:rPr>
        <w:t>c</w:t>
      </w:r>
      <w:r w:rsidR="001C5A7F" w:rsidRPr="006233A8">
        <w:rPr>
          <w:bCs/>
        </w:rPr>
        <w:t xml:space="preserve">annabis </w:t>
      </w:r>
      <w:r w:rsidRPr="006233A8">
        <w:rPr>
          <w:bCs/>
        </w:rPr>
        <w:t xml:space="preserve">deverão obedecer aos regulamentos já expedidos pelo órgão sanitário federal, notadamente a Resolução da Diretoria Colegiada – RDC </w:t>
      </w:r>
      <w:r w:rsidR="001C5A7F" w:rsidRPr="002F21AC">
        <w:rPr>
          <w:bCs/>
        </w:rPr>
        <w:t>–</w:t>
      </w:r>
      <w:r w:rsidR="001C5A7F">
        <w:rPr>
          <w:bCs/>
        </w:rPr>
        <w:t xml:space="preserve"> </w:t>
      </w:r>
      <w:r w:rsidR="001C5A7F" w:rsidRPr="006233A8">
        <w:rPr>
          <w:bCs/>
        </w:rPr>
        <w:t>n</w:t>
      </w:r>
      <w:r w:rsidR="001C5A7F">
        <w:rPr>
          <w:bCs/>
        </w:rPr>
        <w:t>º</w:t>
      </w:r>
      <w:r w:rsidR="001C5A7F" w:rsidRPr="006233A8">
        <w:rPr>
          <w:bCs/>
        </w:rPr>
        <w:t xml:space="preserve"> </w:t>
      </w:r>
      <w:r w:rsidRPr="006233A8">
        <w:rPr>
          <w:bCs/>
        </w:rPr>
        <w:t>9, de 20 de fevereiro de 2015</w:t>
      </w:r>
      <w:r w:rsidR="001C5A7F">
        <w:rPr>
          <w:bCs/>
        </w:rPr>
        <w:t>,</w:t>
      </w:r>
      <w:r w:rsidRPr="006233A8">
        <w:rPr>
          <w:bCs/>
        </w:rPr>
        <w:t xml:space="preserve"> </w:t>
      </w:r>
      <w:r w:rsidR="001C5A7F">
        <w:rPr>
          <w:bCs/>
        </w:rPr>
        <w:t>ou outros que a sucedam</w:t>
      </w:r>
      <w:r w:rsidRPr="006233A8">
        <w:rPr>
          <w:bCs/>
        </w:rPr>
        <w:t>. </w:t>
      </w:r>
    </w:p>
    <w:p w14:paraId="1B540D57" w14:textId="77777777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6233A8">
        <w:rPr>
          <w:bCs/>
        </w:rPr>
        <w:t> </w:t>
      </w:r>
    </w:p>
    <w:p w14:paraId="029074A9" w14:textId="2CF0DFD8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1C5A7F">
        <w:rPr>
          <w:b/>
          <w:bCs/>
        </w:rPr>
        <w:t>Parágrafo único.</w:t>
      </w:r>
      <w:r w:rsidRPr="006233A8">
        <w:rPr>
          <w:bCs/>
        </w:rPr>
        <w:t xml:space="preserve"> Aplica-se</w:t>
      </w:r>
      <w:r w:rsidR="001C5A7F">
        <w:rPr>
          <w:bCs/>
        </w:rPr>
        <w:t>,</w:t>
      </w:r>
      <w:r w:rsidRPr="006233A8">
        <w:rPr>
          <w:bCs/>
        </w:rPr>
        <w:t xml:space="preserve"> ainda</w:t>
      </w:r>
      <w:r w:rsidR="001C5A7F">
        <w:rPr>
          <w:bCs/>
        </w:rPr>
        <w:t>,</w:t>
      </w:r>
      <w:r w:rsidRPr="006233A8">
        <w:rPr>
          <w:bCs/>
        </w:rPr>
        <w:t xml:space="preserve"> à pesquisa com </w:t>
      </w:r>
      <w:r w:rsidR="001C5A7F">
        <w:rPr>
          <w:bCs/>
        </w:rPr>
        <w:t>c</w:t>
      </w:r>
      <w:r w:rsidR="001C5A7F" w:rsidRPr="006233A8">
        <w:rPr>
          <w:bCs/>
        </w:rPr>
        <w:t xml:space="preserve">annabis </w:t>
      </w:r>
      <w:r w:rsidRPr="006233A8">
        <w:rPr>
          <w:bCs/>
        </w:rPr>
        <w:t>o disposto no art. 11 da Lei</w:t>
      </w:r>
      <w:r w:rsidR="001C5A7F">
        <w:rPr>
          <w:bCs/>
        </w:rPr>
        <w:t xml:space="preserve"> Federal</w:t>
      </w:r>
      <w:r w:rsidRPr="006233A8">
        <w:rPr>
          <w:bCs/>
        </w:rPr>
        <w:t xml:space="preserve"> </w:t>
      </w:r>
      <w:r w:rsidR="001C5A7F" w:rsidRPr="006233A8">
        <w:rPr>
          <w:bCs/>
        </w:rPr>
        <w:t>n</w:t>
      </w:r>
      <w:r w:rsidR="001C5A7F">
        <w:rPr>
          <w:bCs/>
        </w:rPr>
        <w:t>º</w:t>
      </w:r>
      <w:r w:rsidR="001C5A7F" w:rsidRPr="006233A8">
        <w:rPr>
          <w:bCs/>
        </w:rPr>
        <w:t xml:space="preserve"> </w:t>
      </w:r>
      <w:r w:rsidRPr="006233A8">
        <w:rPr>
          <w:bCs/>
        </w:rPr>
        <w:t>13.243, de 11 de janeiro de 2016. </w:t>
      </w:r>
    </w:p>
    <w:p w14:paraId="20967C45" w14:textId="77777777" w:rsidR="00D438E6" w:rsidRPr="009224F7" w:rsidRDefault="00D438E6" w:rsidP="009224F7">
      <w:pPr>
        <w:autoSpaceDE w:val="0"/>
        <w:ind w:firstLine="1418"/>
        <w:jc w:val="both"/>
        <w:rPr>
          <w:b/>
          <w:bCs/>
        </w:rPr>
      </w:pPr>
    </w:p>
    <w:p w14:paraId="7AD837C1" w14:textId="46F086CB" w:rsidR="009224F7" w:rsidRPr="009224F7" w:rsidRDefault="00F36DB2" w:rsidP="00F36DB2">
      <w:pPr>
        <w:autoSpaceDE w:val="0"/>
        <w:ind w:firstLine="1418"/>
        <w:jc w:val="both"/>
        <w:rPr>
          <w:b/>
          <w:bCs/>
        </w:rPr>
      </w:pPr>
      <w:r w:rsidRPr="009224F7">
        <w:rPr>
          <w:b/>
          <w:bCs/>
        </w:rPr>
        <w:t xml:space="preserve">Art. </w:t>
      </w:r>
      <w:r w:rsidR="001C5A7F">
        <w:rPr>
          <w:b/>
          <w:bCs/>
        </w:rPr>
        <w:t>6</w:t>
      </w:r>
      <w:proofErr w:type="gramStart"/>
      <w:r w:rsidRPr="009224F7">
        <w:rPr>
          <w:b/>
          <w:bCs/>
        </w:rPr>
        <w:t xml:space="preserve">º </w:t>
      </w:r>
      <w:r>
        <w:rPr>
          <w:b/>
          <w:bCs/>
        </w:rPr>
        <w:t xml:space="preserve"> </w:t>
      </w:r>
      <w:r w:rsidRPr="002F21AC">
        <w:rPr>
          <w:bCs/>
        </w:rPr>
        <w:t>Fica</w:t>
      </w:r>
      <w:proofErr w:type="gramEnd"/>
      <w:r w:rsidRPr="002F21AC">
        <w:rPr>
          <w:bCs/>
        </w:rPr>
        <w:t xml:space="preserve"> a cargo do Executivo Municipal a responsabilidade primordial pela implementação do Projeto criado por esta Lei</w:t>
      </w:r>
      <w:r w:rsidRPr="00902AC8">
        <w:rPr>
          <w:bCs/>
        </w:rPr>
        <w:t xml:space="preserve">, </w:t>
      </w:r>
      <w:r w:rsidRPr="002F21AC">
        <w:rPr>
          <w:bCs/>
        </w:rPr>
        <w:t>respeita</w:t>
      </w:r>
      <w:r>
        <w:rPr>
          <w:bCs/>
        </w:rPr>
        <w:t>das</w:t>
      </w:r>
      <w:r w:rsidRPr="002F21AC">
        <w:rPr>
          <w:bCs/>
        </w:rPr>
        <w:t xml:space="preserve"> suas capacidades estatais,</w:t>
      </w:r>
      <w:r>
        <w:rPr>
          <w:bCs/>
        </w:rPr>
        <w:t xml:space="preserve"> </w:t>
      </w:r>
      <w:r w:rsidRPr="002F21AC">
        <w:rPr>
          <w:bCs/>
        </w:rPr>
        <w:t>em</w:t>
      </w:r>
      <w:r w:rsidR="001C5A7F">
        <w:rPr>
          <w:bCs/>
        </w:rPr>
        <w:t xml:space="preserve"> parceria</w:t>
      </w:r>
      <w:r w:rsidRPr="002F21AC">
        <w:rPr>
          <w:bCs/>
        </w:rPr>
        <w:t xml:space="preserve"> com diferentes </w:t>
      </w:r>
      <w:r>
        <w:rPr>
          <w:bCs/>
        </w:rPr>
        <w:t xml:space="preserve"> </w:t>
      </w:r>
      <w:r w:rsidRPr="002F21AC">
        <w:rPr>
          <w:bCs/>
        </w:rPr>
        <w:t>instituições de pesquisa, entidades, associações, universidades, grupos e núcleos de pesquisa e demais segmentos da sociedade civil organizada</w:t>
      </w:r>
      <w:r w:rsidR="001C5A7F">
        <w:rPr>
          <w:bCs/>
        </w:rPr>
        <w:t>, que igualmente poderão auxiliar na avaliação e no monitoramento do Projeto.</w:t>
      </w:r>
      <w:r w:rsidRPr="009224F7">
        <w:rPr>
          <w:b/>
          <w:bCs/>
        </w:rPr>
        <w:t> </w:t>
      </w:r>
      <w:r w:rsidR="009224F7" w:rsidRPr="009224F7">
        <w:rPr>
          <w:b/>
          <w:bCs/>
        </w:rPr>
        <w:t> </w:t>
      </w:r>
    </w:p>
    <w:p w14:paraId="391C8AFD" w14:textId="77777777" w:rsidR="00F36DB2" w:rsidRDefault="00F36DB2" w:rsidP="009224F7">
      <w:pPr>
        <w:autoSpaceDE w:val="0"/>
        <w:ind w:firstLine="1418"/>
        <w:jc w:val="both"/>
        <w:rPr>
          <w:b/>
          <w:bCs/>
        </w:rPr>
      </w:pPr>
    </w:p>
    <w:p w14:paraId="53DFE871" w14:textId="72E69901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9224F7">
        <w:rPr>
          <w:b/>
          <w:bCs/>
        </w:rPr>
        <w:t>Art. 7</w:t>
      </w:r>
      <w:proofErr w:type="gramStart"/>
      <w:r w:rsidRPr="009224F7">
        <w:rPr>
          <w:b/>
          <w:bCs/>
        </w:rPr>
        <w:t xml:space="preserve">º </w:t>
      </w:r>
      <w:r w:rsidR="0075795F">
        <w:rPr>
          <w:b/>
          <w:bCs/>
        </w:rPr>
        <w:t xml:space="preserve"> </w:t>
      </w:r>
      <w:r w:rsidRPr="006233A8">
        <w:rPr>
          <w:bCs/>
        </w:rPr>
        <w:t>As</w:t>
      </w:r>
      <w:proofErr w:type="gramEnd"/>
      <w:r w:rsidRPr="006233A8">
        <w:rPr>
          <w:bCs/>
        </w:rPr>
        <w:t xml:space="preserve"> despesas orçamentárias </w:t>
      </w:r>
      <w:r w:rsidR="001C5A7F">
        <w:rPr>
          <w:bCs/>
        </w:rPr>
        <w:t>decorrentes desta Lei deverão ser</w:t>
      </w:r>
      <w:r w:rsidR="001C5A7F" w:rsidRPr="006233A8">
        <w:rPr>
          <w:bCs/>
        </w:rPr>
        <w:t xml:space="preserve"> </w:t>
      </w:r>
      <w:r w:rsidRPr="006233A8">
        <w:rPr>
          <w:bCs/>
        </w:rPr>
        <w:t xml:space="preserve">consideradas </w:t>
      </w:r>
      <w:r w:rsidR="001C5A7F">
        <w:rPr>
          <w:bCs/>
        </w:rPr>
        <w:t>a</w:t>
      </w:r>
      <w:r w:rsidR="001C5A7F" w:rsidRPr="006233A8">
        <w:rPr>
          <w:bCs/>
        </w:rPr>
        <w:t xml:space="preserve"> </w:t>
      </w:r>
      <w:r w:rsidRPr="006233A8">
        <w:rPr>
          <w:bCs/>
        </w:rPr>
        <w:t xml:space="preserve">título de desenvolvimento </w:t>
      </w:r>
      <w:r w:rsidR="001C5A7F" w:rsidRPr="006233A8">
        <w:rPr>
          <w:bCs/>
        </w:rPr>
        <w:t>técnico</w:t>
      </w:r>
      <w:r w:rsidR="001C5A7F">
        <w:rPr>
          <w:bCs/>
        </w:rPr>
        <w:t>-</w:t>
      </w:r>
      <w:r w:rsidRPr="006233A8">
        <w:rPr>
          <w:bCs/>
        </w:rPr>
        <w:t>científico</w:t>
      </w:r>
      <w:r w:rsidR="0075795F">
        <w:rPr>
          <w:bCs/>
        </w:rPr>
        <w:t xml:space="preserve"> </w:t>
      </w:r>
      <w:r w:rsidRPr="006233A8">
        <w:rPr>
          <w:bCs/>
        </w:rPr>
        <w:t xml:space="preserve">e social </w:t>
      </w:r>
      <w:r w:rsidR="001C5A7F">
        <w:rPr>
          <w:bCs/>
        </w:rPr>
        <w:t>n</w:t>
      </w:r>
      <w:r w:rsidR="001C5A7F" w:rsidRPr="006233A8">
        <w:rPr>
          <w:bCs/>
        </w:rPr>
        <w:t xml:space="preserve">o </w:t>
      </w:r>
      <w:r w:rsidRPr="006233A8">
        <w:rPr>
          <w:bCs/>
        </w:rPr>
        <w:t>orçamento anual aprovado p</w:t>
      </w:r>
      <w:r w:rsidR="001C5A7F">
        <w:rPr>
          <w:bCs/>
        </w:rPr>
        <w:t xml:space="preserve">or lei orçamentária. </w:t>
      </w:r>
    </w:p>
    <w:p w14:paraId="4FE5153C" w14:textId="77777777" w:rsidR="009224F7" w:rsidRPr="009224F7" w:rsidRDefault="009224F7" w:rsidP="009224F7">
      <w:pPr>
        <w:autoSpaceDE w:val="0"/>
        <w:ind w:firstLine="1418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226C8500" w14:textId="220A6F3D" w:rsidR="009224F7" w:rsidRPr="006233A8" w:rsidRDefault="009224F7" w:rsidP="009224F7">
      <w:pPr>
        <w:autoSpaceDE w:val="0"/>
        <w:ind w:firstLine="1418"/>
        <w:jc w:val="both"/>
        <w:rPr>
          <w:bCs/>
        </w:rPr>
      </w:pPr>
      <w:r w:rsidRPr="009224F7">
        <w:rPr>
          <w:b/>
          <w:bCs/>
        </w:rPr>
        <w:t xml:space="preserve">Art. 8º </w:t>
      </w:r>
      <w:r w:rsidR="001C5A7F">
        <w:rPr>
          <w:b/>
          <w:bCs/>
        </w:rPr>
        <w:t xml:space="preserve"> </w:t>
      </w:r>
      <w:r w:rsidRPr="006233A8">
        <w:rPr>
          <w:bCs/>
        </w:rPr>
        <w:t>Esta Lei entra em vigor na data de sua publicação.</w:t>
      </w:r>
    </w:p>
    <w:p w14:paraId="17AAE68A" w14:textId="607567F2" w:rsidR="008B6BF2" w:rsidRPr="001C5A7F" w:rsidRDefault="008B6BF2" w:rsidP="009224F7">
      <w:pPr>
        <w:autoSpaceDE w:val="0"/>
        <w:ind w:firstLine="1418"/>
        <w:jc w:val="both"/>
        <w:rPr>
          <w:bCs/>
          <w:color w:val="000000"/>
          <w:sz w:val="20"/>
          <w:szCs w:val="20"/>
        </w:rPr>
      </w:pPr>
    </w:p>
    <w:p w14:paraId="173BC43F" w14:textId="77777777" w:rsidR="00C852D4" w:rsidRDefault="00C852D4">
      <w:pPr>
        <w:autoSpaceDE w:val="0"/>
        <w:rPr>
          <w:bCs/>
          <w:color w:val="000000"/>
          <w:sz w:val="20"/>
          <w:szCs w:val="20"/>
        </w:rPr>
      </w:pPr>
    </w:p>
    <w:p w14:paraId="2697BFBA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62A6BFE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347DE2BD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C7042FA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9C65440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289AF684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5BEFE292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CD3D2DC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054CF0E8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73C2A37C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0D06B686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6AE46399" w14:textId="77777777" w:rsidR="00C852D4" w:rsidRDefault="00C852D4">
      <w:pPr>
        <w:autoSpaceDE w:val="0"/>
        <w:rPr>
          <w:bCs/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12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54F69" w14:textId="77777777" w:rsidR="00145FAB" w:rsidRDefault="00145FAB">
      <w:r>
        <w:separator/>
      </w:r>
    </w:p>
  </w:endnote>
  <w:endnote w:type="continuationSeparator" w:id="0">
    <w:p w14:paraId="67C06632" w14:textId="77777777" w:rsidR="00145FAB" w:rsidRDefault="0014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92E6" w14:textId="77777777" w:rsidR="00145FAB" w:rsidRDefault="00145FAB">
      <w:r>
        <w:separator/>
      </w:r>
    </w:p>
  </w:footnote>
  <w:footnote w:type="continuationSeparator" w:id="0">
    <w:p w14:paraId="3C5B418E" w14:textId="77777777" w:rsidR="00145FAB" w:rsidRDefault="0014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77777777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5795F">
      <w:rPr>
        <w:b/>
        <w:bCs/>
        <w:noProof/>
      </w:rPr>
      <w:t>7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8FA3FA4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8E741A">
      <w:rPr>
        <w:b/>
        <w:bCs/>
      </w:rPr>
      <w:t>0</w:t>
    </w:r>
    <w:r w:rsidR="003D0F88">
      <w:rPr>
        <w:b/>
        <w:bCs/>
      </w:rPr>
      <w:t>489</w:t>
    </w:r>
    <w:r>
      <w:rPr>
        <w:b/>
        <w:bCs/>
      </w:rPr>
      <w:t>/21</w:t>
    </w:r>
  </w:p>
  <w:p w14:paraId="5FC7BBF2" w14:textId="79949F41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8E741A">
      <w:rPr>
        <w:b/>
        <w:bCs/>
      </w:rPr>
      <w:t>1</w:t>
    </w:r>
    <w:r w:rsidR="003D0F88">
      <w:rPr>
        <w:b/>
        <w:bCs/>
      </w:rPr>
      <w:t>86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4721C"/>
    <w:rsid w:val="00047E1D"/>
    <w:rsid w:val="00054001"/>
    <w:rsid w:val="00054833"/>
    <w:rsid w:val="00065DEB"/>
    <w:rsid w:val="00090194"/>
    <w:rsid w:val="00093F2B"/>
    <w:rsid w:val="00097F32"/>
    <w:rsid w:val="000A04A9"/>
    <w:rsid w:val="000D063D"/>
    <w:rsid w:val="000D13EE"/>
    <w:rsid w:val="000F1033"/>
    <w:rsid w:val="00123051"/>
    <w:rsid w:val="00145FAB"/>
    <w:rsid w:val="00150981"/>
    <w:rsid w:val="0016779A"/>
    <w:rsid w:val="00180280"/>
    <w:rsid w:val="001A3CC7"/>
    <w:rsid w:val="001B41B5"/>
    <w:rsid w:val="001C5A7F"/>
    <w:rsid w:val="001D30EC"/>
    <w:rsid w:val="00203031"/>
    <w:rsid w:val="00212700"/>
    <w:rsid w:val="00225E66"/>
    <w:rsid w:val="0023163C"/>
    <w:rsid w:val="00243728"/>
    <w:rsid w:val="002521C2"/>
    <w:rsid w:val="00265EE4"/>
    <w:rsid w:val="00270B2A"/>
    <w:rsid w:val="00273049"/>
    <w:rsid w:val="00282C3B"/>
    <w:rsid w:val="00287CF0"/>
    <w:rsid w:val="002A4377"/>
    <w:rsid w:val="002C1E44"/>
    <w:rsid w:val="002E2D60"/>
    <w:rsid w:val="003079B0"/>
    <w:rsid w:val="00313F85"/>
    <w:rsid w:val="0031768B"/>
    <w:rsid w:val="00324D8A"/>
    <w:rsid w:val="00332886"/>
    <w:rsid w:val="0035168D"/>
    <w:rsid w:val="00360633"/>
    <w:rsid w:val="00363FE0"/>
    <w:rsid w:val="00364D55"/>
    <w:rsid w:val="003A246C"/>
    <w:rsid w:val="003C3313"/>
    <w:rsid w:val="003C419F"/>
    <w:rsid w:val="003C5322"/>
    <w:rsid w:val="003D0F88"/>
    <w:rsid w:val="003D26DF"/>
    <w:rsid w:val="003F05F9"/>
    <w:rsid w:val="00416611"/>
    <w:rsid w:val="004B02DF"/>
    <w:rsid w:val="004B3C78"/>
    <w:rsid w:val="004D1F11"/>
    <w:rsid w:val="004D44B4"/>
    <w:rsid w:val="00500F63"/>
    <w:rsid w:val="00515ADF"/>
    <w:rsid w:val="00540B95"/>
    <w:rsid w:val="00560BCB"/>
    <w:rsid w:val="005951C1"/>
    <w:rsid w:val="005D028B"/>
    <w:rsid w:val="005F6105"/>
    <w:rsid w:val="0060373E"/>
    <w:rsid w:val="006233A8"/>
    <w:rsid w:val="00626032"/>
    <w:rsid w:val="00631AC3"/>
    <w:rsid w:val="0065211C"/>
    <w:rsid w:val="00690CA6"/>
    <w:rsid w:val="006925AD"/>
    <w:rsid w:val="00697DAF"/>
    <w:rsid w:val="006C0AD2"/>
    <w:rsid w:val="006E6F24"/>
    <w:rsid w:val="006F52A4"/>
    <w:rsid w:val="00700051"/>
    <w:rsid w:val="00707C94"/>
    <w:rsid w:val="0072611E"/>
    <w:rsid w:val="0073005C"/>
    <w:rsid w:val="00731850"/>
    <w:rsid w:val="00754AB7"/>
    <w:rsid w:val="0075795F"/>
    <w:rsid w:val="00762E6B"/>
    <w:rsid w:val="007B0B60"/>
    <w:rsid w:val="007D61BD"/>
    <w:rsid w:val="007E34F7"/>
    <w:rsid w:val="007E3A20"/>
    <w:rsid w:val="007F1410"/>
    <w:rsid w:val="00805FFD"/>
    <w:rsid w:val="00821B56"/>
    <w:rsid w:val="0083085B"/>
    <w:rsid w:val="00833DCE"/>
    <w:rsid w:val="00843FDC"/>
    <w:rsid w:val="00860B7C"/>
    <w:rsid w:val="0089729E"/>
    <w:rsid w:val="008A4CAF"/>
    <w:rsid w:val="008B6BF2"/>
    <w:rsid w:val="008E741A"/>
    <w:rsid w:val="008F7ECF"/>
    <w:rsid w:val="009020F4"/>
    <w:rsid w:val="00902AC8"/>
    <w:rsid w:val="00903C4D"/>
    <w:rsid w:val="00912198"/>
    <w:rsid w:val="009224F7"/>
    <w:rsid w:val="00933AE8"/>
    <w:rsid w:val="00952324"/>
    <w:rsid w:val="00961094"/>
    <w:rsid w:val="009756F6"/>
    <w:rsid w:val="00976013"/>
    <w:rsid w:val="009842B9"/>
    <w:rsid w:val="009B3C49"/>
    <w:rsid w:val="009D136A"/>
    <w:rsid w:val="009F606C"/>
    <w:rsid w:val="00A05517"/>
    <w:rsid w:val="00A17012"/>
    <w:rsid w:val="00A46B25"/>
    <w:rsid w:val="00A55075"/>
    <w:rsid w:val="00A77509"/>
    <w:rsid w:val="00A77C70"/>
    <w:rsid w:val="00A97732"/>
    <w:rsid w:val="00AA1A6C"/>
    <w:rsid w:val="00AB630A"/>
    <w:rsid w:val="00AC5571"/>
    <w:rsid w:val="00AC7520"/>
    <w:rsid w:val="00B01173"/>
    <w:rsid w:val="00B03B5F"/>
    <w:rsid w:val="00B74BF6"/>
    <w:rsid w:val="00B90DE4"/>
    <w:rsid w:val="00BA295F"/>
    <w:rsid w:val="00BC1B1B"/>
    <w:rsid w:val="00BC24D3"/>
    <w:rsid w:val="00C00365"/>
    <w:rsid w:val="00C22F86"/>
    <w:rsid w:val="00C32535"/>
    <w:rsid w:val="00C41B02"/>
    <w:rsid w:val="00C74CDE"/>
    <w:rsid w:val="00C852D4"/>
    <w:rsid w:val="00CB230E"/>
    <w:rsid w:val="00CC008C"/>
    <w:rsid w:val="00CC6A8D"/>
    <w:rsid w:val="00D00F79"/>
    <w:rsid w:val="00D07427"/>
    <w:rsid w:val="00D26FEE"/>
    <w:rsid w:val="00D4066B"/>
    <w:rsid w:val="00D438E6"/>
    <w:rsid w:val="00D6002A"/>
    <w:rsid w:val="00D7232F"/>
    <w:rsid w:val="00D76309"/>
    <w:rsid w:val="00D96277"/>
    <w:rsid w:val="00DA3E29"/>
    <w:rsid w:val="00DC2497"/>
    <w:rsid w:val="00DC24C2"/>
    <w:rsid w:val="00DC6A4C"/>
    <w:rsid w:val="00DD370C"/>
    <w:rsid w:val="00DE0CB0"/>
    <w:rsid w:val="00DE2B14"/>
    <w:rsid w:val="00DF1CD8"/>
    <w:rsid w:val="00DF596C"/>
    <w:rsid w:val="00E13CAA"/>
    <w:rsid w:val="00E44034"/>
    <w:rsid w:val="00E813EA"/>
    <w:rsid w:val="00E862F2"/>
    <w:rsid w:val="00EA23A4"/>
    <w:rsid w:val="00EC6352"/>
    <w:rsid w:val="00ED3CC6"/>
    <w:rsid w:val="00EF5C5E"/>
    <w:rsid w:val="00F127A2"/>
    <w:rsid w:val="00F36DB2"/>
    <w:rsid w:val="00F94C6F"/>
    <w:rsid w:val="00FC35E6"/>
    <w:rsid w:val="00FC49E4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ropoles.com/vida-e-estilo/bem-estar/alzheimer-e-outras-seis-doencas-que-a-maconha-pode-tratar-ou-prevenir?am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/CNSj69xD4q2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iania.go.leg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br/anvisa/pt-br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9D409-D51E-4A36-9994-62C1D20C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264</TotalTime>
  <Pages>6</Pages>
  <Words>2170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42</cp:revision>
  <cp:lastPrinted>1995-11-21T19:41:00Z</cp:lastPrinted>
  <dcterms:created xsi:type="dcterms:W3CDTF">2021-07-07T11:56:00Z</dcterms:created>
  <dcterms:modified xsi:type="dcterms:W3CDTF">2021-08-06T13:43:00Z</dcterms:modified>
</cp:coreProperties>
</file>