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50504BC9" w14:textId="77777777" w:rsidR="00BD7A83" w:rsidRDefault="00BD7A83">
      <w:pPr>
        <w:ind w:firstLine="1418"/>
        <w:jc w:val="center"/>
      </w:pPr>
    </w:p>
    <w:p w14:paraId="25D54A47" w14:textId="531A1604" w:rsidR="00282352" w:rsidRPr="00282352" w:rsidRDefault="00282352" w:rsidP="00282352">
      <w:pPr>
        <w:autoSpaceDE w:val="0"/>
        <w:ind w:firstLine="1418"/>
        <w:jc w:val="both"/>
        <w:rPr>
          <w:bCs/>
        </w:rPr>
      </w:pPr>
      <w:r w:rsidRPr="00282352">
        <w:rPr>
          <w:bCs/>
        </w:rPr>
        <w:t xml:space="preserve">A lei municipal atual fixa penalidades mais brandas aos pichadores. A cidade continua sendo pichada e, basicamente, o Município dispõe somente da aplicação do instituto da multa. </w:t>
      </w:r>
      <w:r w:rsidR="00BD7A83" w:rsidRPr="00282352">
        <w:rPr>
          <w:bCs/>
        </w:rPr>
        <w:t>Est</w:t>
      </w:r>
      <w:r w:rsidR="00BD7A83">
        <w:rPr>
          <w:bCs/>
        </w:rPr>
        <w:t>e</w:t>
      </w:r>
      <w:r w:rsidR="00BD7A83" w:rsidRPr="00282352">
        <w:rPr>
          <w:bCs/>
        </w:rPr>
        <w:t xml:space="preserve"> </w:t>
      </w:r>
      <w:r w:rsidR="00BD7A83">
        <w:rPr>
          <w:bCs/>
        </w:rPr>
        <w:t>Projeto de L</w:t>
      </w:r>
      <w:r w:rsidR="00BD7A83" w:rsidRPr="00282352">
        <w:rPr>
          <w:bCs/>
        </w:rPr>
        <w:t>ei</w:t>
      </w:r>
      <w:r w:rsidR="00BD7A83">
        <w:rPr>
          <w:bCs/>
        </w:rPr>
        <w:t xml:space="preserve"> Complementar</w:t>
      </w:r>
      <w:r w:rsidR="00BD7A83" w:rsidRPr="00282352">
        <w:rPr>
          <w:bCs/>
        </w:rPr>
        <w:t xml:space="preserve"> </w:t>
      </w:r>
      <w:r w:rsidRPr="00282352">
        <w:rPr>
          <w:bCs/>
        </w:rPr>
        <w:t xml:space="preserve">visa, então, </w:t>
      </w:r>
      <w:r w:rsidR="00BD7A83">
        <w:rPr>
          <w:bCs/>
        </w:rPr>
        <w:t xml:space="preserve">a </w:t>
      </w:r>
      <w:r w:rsidRPr="00282352">
        <w:rPr>
          <w:bCs/>
        </w:rPr>
        <w:t>agravar as penalidades aos pichadores</w:t>
      </w:r>
      <w:r w:rsidR="00BD7A83">
        <w:rPr>
          <w:bCs/>
        </w:rPr>
        <w:t>,</w:t>
      </w:r>
      <w:r w:rsidRPr="00282352">
        <w:rPr>
          <w:bCs/>
        </w:rPr>
        <w:t xml:space="preserve"> de forma a desincentivar os infratores, em especial aqueles que picham com intuitos politiqueiros.</w:t>
      </w:r>
      <w:r w:rsidR="00BD7A83">
        <w:rPr>
          <w:bCs/>
        </w:rPr>
        <w:t xml:space="preserve"> </w:t>
      </w:r>
      <w:r w:rsidRPr="00282352">
        <w:rPr>
          <w:bCs/>
        </w:rPr>
        <w:t>O infrator des</w:t>
      </w:r>
      <w:r w:rsidR="00BD7A83">
        <w:rPr>
          <w:bCs/>
        </w:rPr>
        <w:t>s</w:t>
      </w:r>
      <w:r w:rsidRPr="00282352">
        <w:rPr>
          <w:bCs/>
        </w:rPr>
        <w:t>e crime, no mais das vezes, não paga essa multa, haja vista o público ser</w:t>
      </w:r>
      <w:r w:rsidR="00BD7A83">
        <w:rPr>
          <w:bCs/>
        </w:rPr>
        <w:t>,</w:t>
      </w:r>
      <w:r w:rsidRPr="00282352">
        <w:rPr>
          <w:bCs/>
        </w:rPr>
        <w:t xml:space="preserve"> na maior parte</w:t>
      </w:r>
      <w:r w:rsidR="00BD7A83">
        <w:rPr>
          <w:bCs/>
        </w:rPr>
        <w:t>,</w:t>
      </w:r>
      <w:r w:rsidRPr="00282352">
        <w:rPr>
          <w:bCs/>
        </w:rPr>
        <w:t xml:space="preserve"> jovens e, em razão da idade, não possuírem capacidade econômica. O Executivo não as executa e, as executando, trata-se de pessoas sem bens para garantir o pagamento.</w:t>
      </w:r>
    </w:p>
    <w:p w14:paraId="4EAB5A2C" w14:textId="2ACB6D79" w:rsidR="00282352" w:rsidRPr="00282352" w:rsidRDefault="00282352" w:rsidP="00282352">
      <w:pPr>
        <w:autoSpaceDE w:val="0"/>
        <w:ind w:firstLine="1418"/>
        <w:jc w:val="both"/>
        <w:rPr>
          <w:bCs/>
        </w:rPr>
      </w:pPr>
      <w:r w:rsidRPr="00282352">
        <w:rPr>
          <w:bCs/>
        </w:rPr>
        <w:t xml:space="preserve">Entende-se que a criação de um cadastro de infratores que permita tão somente a identificação do cidadão para torná-lo impedido de nomeação em cargos em comissão, por um certo período de tempo, seja uma boa medida para coibir a prática do ilícito. Inclusive porque, por vezes, as pichações possuem cunho político e são feitas a mando daqueles que têm a ganhar com a difamação pública de seus opositores. Logo, a proibição de nomeação em cargos </w:t>
      </w:r>
      <w:r w:rsidR="00DB596D">
        <w:rPr>
          <w:bCs/>
        </w:rPr>
        <w:t>em</w:t>
      </w:r>
      <w:r w:rsidR="00DB596D" w:rsidRPr="00282352">
        <w:rPr>
          <w:bCs/>
        </w:rPr>
        <w:t xml:space="preserve"> </w:t>
      </w:r>
      <w:r w:rsidRPr="00282352">
        <w:rPr>
          <w:bCs/>
        </w:rPr>
        <w:t>comissão de pichadores servirá como forma de desencorajar que jovens sejam enganados com falsas promessas de que seus atos “revolucionários” de vandalismo serão recompensados politicamente.</w:t>
      </w:r>
    </w:p>
    <w:p w14:paraId="429080B6" w14:textId="59460FB9" w:rsidR="00282352" w:rsidRPr="00282352" w:rsidRDefault="00282352">
      <w:pPr>
        <w:autoSpaceDE w:val="0"/>
        <w:ind w:firstLine="1418"/>
        <w:jc w:val="both"/>
        <w:rPr>
          <w:bCs/>
        </w:rPr>
      </w:pPr>
      <w:r w:rsidRPr="00282352">
        <w:rPr>
          <w:bCs/>
        </w:rPr>
        <w:t>Há quem possa argumentar que a pichação é arte e que o intuito de dificultar o vandalismo seja uma tentativa de silenciar vozes ou a liberdade de expressão. Nada pode estar mais longe da verdade. Primeiro, porque pichação não é arte</w:t>
      </w:r>
      <w:r w:rsidR="005E7FD9">
        <w:rPr>
          <w:bCs/>
        </w:rPr>
        <w:t>;</w:t>
      </w:r>
      <w:r w:rsidRPr="00282352">
        <w:rPr>
          <w:bCs/>
        </w:rPr>
        <w:t xml:space="preserve"> grafite é arte. Grafite é feito por artistas</w:t>
      </w:r>
      <w:r w:rsidR="005E7FD9">
        <w:rPr>
          <w:bCs/>
        </w:rPr>
        <w:t>,</w:t>
      </w:r>
      <w:r w:rsidRPr="00282352">
        <w:rPr>
          <w:bCs/>
        </w:rPr>
        <w:t xml:space="preserve"> em local adequado</w:t>
      </w:r>
      <w:r w:rsidR="005E7FD9">
        <w:rPr>
          <w:bCs/>
        </w:rPr>
        <w:t>,</w:t>
      </w:r>
      <w:r w:rsidRPr="00282352">
        <w:rPr>
          <w:bCs/>
        </w:rPr>
        <w:t xml:space="preserve"> com a devida licença</w:t>
      </w:r>
      <w:r w:rsidR="005E7FD9">
        <w:rPr>
          <w:bCs/>
        </w:rPr>
        <w:t>,</w:t>
      </w:r>
      <w:r w:rsidRPr="00282352">
        <w:rPr>
          <w:bCs/>
        </w:rPr>
        <w:t xml:space="preserve"> e a pichação é feita por marginais que depredam bens públicos e propriedades de terceiros. Segundo</w:t>
      </w:r>
      <w:r w:rsidR="005E7FD9">
        <w:rPr>
          <w:bCs/>
        </w:rPr>
        <w:t>,</w:t>
      </w:r>
      <w:r w:rsidRPr="00282352">
        <w:rPr>
          <w:bCs/>
        </w:rPr>
        <w:t xml:space="preserve"> porque já não faltam, na atualidade, meios de demonstrar publicamente insatisfação política: há muito que as redes sociais e a inclusão digital permitem que o desgosto pelo governo vigente e o contraditório tenham espaço e voz para todos se fazerem ouvidos, seja no Facebook,</w:t>
      </w:r>
      <w:r w:rsidR="00475628">
        <w:rPr>
          <w:bCs/>
        </w:rPr>
        <w:t xml:space="preserve"> no</w:t>
      </w:r>
      <w:r w:rsidRPr="00282352">
        <w:rPr>
          <w:bCs/>
        </w:rPr>
        <w:t xml:space="preserve"> Twitter, grupos de Whatsapp, etc. A “necessidade” das pichações em muros para críticas políticas é coisa do passado </w:t>
      </w:r>
      <w:r w:rsidR="00475628">
        <w:rPr>
          <w:bCs/>
        </w:rPr>
        <w:t>–</w:t>
      </w:r>
      <w:r w:rsidRPr="00282352">
        <w:rPr>
          <w:bCs/>
        </w:rPr>
        <w:t xml:space="preserve"> se é que se pode dizer que já teve tal serventia </w:t>
      </w:r>
      <w:r w:rsidR="00475628">
        <w:rPr>
          <w:bCs/>
        </w:rPr>
        <w:t>–</w:t>
      </w:r>
      <w:r w:rsidRPr="00282352">
        <w:rPr>
          <w:bCs/>
        </w:rPr>
        <w:t>, restando apenas para enfear nossa cidade e para que delinquentes se provem dentro de seus próprios círculos de bandidos.</w:t>
      </w:r>
    </w:p>
    <w:p w14:paraId="4A0F627A" w14:textId="67D378F6" w:rsidR="00232284" w:rsidRPr="00232284" w:rsidRDefault="00282352" w:rsidP="00282352">
      <w:pPr>
        <w:autoSpaceDE w:val="0"/>
        <w:ind w:firstLine="1418"/>
        <w:jc w:val="both"/>
        <w:rPr>
          <w:bCs/>
        </w:rPr>
      </w:pPr>
      <w:r w:rsidRPr="00282352">
        <w:rPr>
          <w:bCs/>
        </w:rPr>
        <w:t xml:space="preserve">De quebra, a </w:t>
      </w:r>
      <w:r w:rsidR="00475628">
        <w:rPr>
          <w:bCs/>
        </w:rPr>
        <w:t>P</w:t>
      </w:r>
      <w:r w:rsidR="00475628" w:rsidRPr="00282352">
        <w:rPr>
          <w:bCs/>
        </w:rPr>
        <w:t xml:space="preserve">roposição </w:t>
      </w:r>
      <w:r w:rsidRPr="00282352">
        <w:rPr>
          <w:bCs/>
        </w:rPr>
        <w:t>pretende revogar a Lei nº 10.958, de 30 de setembro de 2010, que está inócua de aplicação no Município. Isso porque, embora meritória a intenção à época, na prática</w:t>
      </w:r>
      <w:r w:rsidR="00475628">
        <w:rPr>
          <w:bCs/>
        </w:rPr>
        <w:t>,</w:t>
      </w:r>
      <w:r w:rsidRPr="00282352">
        <w:rPr>
          <w:bCs/>
        </w:rPr>
        <w:t xml:space="preserve"> verificou-se que não há interesse de instituições em desenvolver programas e projetos de ressocialização</w:t>
      </w:r>
      <w:r w:rsidR="00475628">
        <w:rPr>
          <w:bCs/>
        </w:rPr>
        <w:t>,</w:t>
      </w:r>
      <w:r w:rsidRPr="00282352">
        <w:rPr>
          <w:bCs/>
        </w:rPr>
        <w:t xml:space="preserve"> com o objetivo de eliminar as marcas nos monumentos ou prédios executadas pelos pichadores</w:t>
      </w:r>
      <w:r w:rsidR="009F2545">
        <w:rPr>
          <w:bCs/>
        </w:rPr>
        <w:t xml:space="preserve">. </w:t>
      </w:r>
      <w:r w:rsidR="008531EA">
        <w:rPr>
          <w:bCs/>
        </w:rPr>
        <w:t>A</w:t>
      </w:r>
      <w:r w:rsidRPr="00282352">
        <w:rPr>
          <w:bCs/>
        </w:rPr>
        <w:t xml:space="preserve"> própria Lei Complementar </w:t>
      </w:r>
      <w:r w:rsidR="009F2545">
        <w:rPr>
          <w:bCs/>
        </w:rPr>
        <w:t xml:space="preserve">nº </w:t>
      </w:r>
      <w:r w:rsidRPr="00282352">
        <w:rPr>
          <w:bCs/>
        </w:rPr>
        <w:t>12</w:t>
      </w:r>
      <w:r w:rsidR="009F2545">
        <w:rPr>
          <w:bCs/>
        </w:rPr>
        <w:t>,</w:t>
      </w:r>
      <w:r w:rsidRPr="00282352">
        <w:rPr>
          <w:bCs/>
        </w:rPr>
        <w:t xml:space="preserve"> de 7 de janeiro de 1975</w:t>
      </w:r>
      <w:r w:rsidR="009F2545">
        <w:rPr>
          <w:bCs/>
        </w:rPr>
        <w:t>,</w:t>
      </w:r>
      <w:r w:rsidRPr="00282352">
        <w:rPr>
          <w:bCs/>
        </w:rPr>
        <w:t xml:space="preserve"> já prevê</w:t>
      </w:r>
      <w:r w:rsidR="009F2545">
        <w:rPr>
          <w:bCs/>
        </w:rPr>
        <w:t>,</w:t>
      </w:r>
      <w:r w:rsidRPr="00282352">
        <w:rPr>
          <w:bCs/>
        </w:rPr>
        <w:t xml:space="preserve"> como penalidade</w:t>
      </w:r>
      <w:r w:rsidR="009F2545">
        <w:rPr>
          <w:bCs/>
        </w:rPr>
        <w:t>,</w:t>
      </w:r>
      <w:r w:rsidRPr="00282352">
        <w:rPr>
          <w:bCs/>
        </w:rPr>
        <w:t xml:space="preserve"> a reparação do dano, </w:t>
      </w:r>
      <w:r w:rsidR="008531EA">
        <w:rPr>
          <w:bCs/>
        </w:rPr>
        <w:t>bem como</w:t>
      </w:r>
      <w:r w:rsidRPr="00282352">
        <w:rPr>
          <w:bCs/>
        </w:rPr>
        <w:t xml:space="preserve"> o setor de zeladoria da cidade ou o ente privado vitimizado não pode deixar as marcas estampadas por muito tempo por uma questão de cuidado com o mobiliário urbano, realizando ele mesmo a reparação da conspurcação</w:t>
      </w:r>
      <w:r w:rsidR="008531EA">
        <w:rPr>
          <w:bCs/>
        </w:rPr>
        <w:t>. P</w:t>
      </w:r>
      <w:r w:rsidRPr="00282352">
        <w:rPr>
          <w:bCs/>
        </w:rPr>
        <w:t xml:space="preserve">or </w:t>
      </w:r>
      <w:r w:rsidR="008531EA">
        <w:rPr>
          <w:bCs/>
        </w:rPr>
        <w:t>fim</w:t>
      </w:r>
      <w:r w:rsidRPr="00282352">
        <w:rPr>
          <w:bCs/>
        </w:rPr>
        <w:t xml:space="preserve">, </w:t>
      </w:r>
      <w:r w:rsidR="00BA09E6">
        <w:rPr>
          <w:bCs/>
        </w:rPr>
        <w:t>o inc. II d</w:t>
      </w:r>
      <w:r w:rsidRPr="00282352">
        <w:rPr>
          <w:bCs/>
        </w:rPr>
        <w:t xml:space="preserve">o </w:t>
      </w:r>
      <w:r w:rsidR="00BA09E6">
        <w:rPr>
          <w:bCs/>
        </w:rPr>
        <w:t>a</w:t>
      </w:r>
      <w:r w:rsidRPr="00282352">
        <w:rPr>
          <w:bCs/>
        </w:rPr>
        <w:t>rt. 3</w:t>
      </w:r>
      <w:r w:rsidR="00BA09E6">
        <w:rPr>
          <w:bCs/>
        </w:rPr>
        <w:t>º</w:t>
      </w:r>
      <w:r w:rsidRPr="00282352">
        <w:rPr>
          <w:bCs/>
        </w:rPr>
        <w:t xml:space="preserve"> </w:t>
      </w:r>
      <w:r w:rsidR="00BA09E6">
        <w:rPr>
          <w:bCs/>
        </w:rPr>
        <w:t>da referida L</w:t>
      </w:r>
      <w:r w:rsidRPr="00282352">
        <w:rPr>
          <w:bCs/>
        </w:rPr>
        <w:t>ei</w:t>
      </w:r>
      <w:r w:rsidR="00BA09E6">
        <w:rPr>
          <w:bCs/>
        </w:rPr>
        <w:t xml:space="preserve"> </w:t>
      </w:r>
      <w:r w:rsidRPr="00282352">
        <w:rPr>
          <w:bCs/>
        </w:rPr>
        <w:t>diz que é a vítima proprietária do imóvel que deve fornecer o material de pintura</w:t>
      </w:r>
      <w:r w:rsidR="00BA09E6">
        <w:rPr>
          <w:bCs/>
        </w:rPr>
        <w:t>,</w:t>
      </w:r>
      <w:r w:rsidRPr="00282352">
        <w:rPr>
          <w:bCs/>
        </w:rPr>
        <w:t xml:space="preserve"> o que é uma contraditória afronta à Lei Complementar</w:t>
      </w:r>
      <w:r w:rsidR="00E44862">
        <w:rPr>
          <w:bCs/>
        </w:rPr>
        <w:t xml:space="preserve"> nº</w:t>
      </w:r>
      <w:r w:rsidRPr="00282352">
        <w:rPr>
          <w:bCs/>
        </w:rPr>
        <w:t xml:space="preserve"> 12 e ao próprio bom senso.</w:t>
      </w:r>
    </w:p>
    <w:p w14:paraId="093E78E5" w14:textId="4603BE5B" w:rsidR="00DC5C0B" w:rsidRDefault="00232284" w:rsidP="00232284">
      <w:pPr>
        <w:autoSpaceDE w:val="0"/>
        <w:ind w:firstLine="1418"/>
        <w:jc w:val="both"/>
        <w:rPr>
          <w:bCs/>
        </w:rPr>
      </w:pPr>
      <w:r w:rsidRPr="00232284">
        <w:rPr>
          <w:bCs/>
        </w:rPr>
        <w:t> </w:t>
      </w:r>
    </w:p>
    <w:p w14:paraId="3CBA754A" w14:textId="36D4672F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F74BFE">
        <w:t xml:space="preserve">14 </w:t>
      </w:r>
      <w:r w:rsidR="008B6BF2">
        <w:t xml:space="preserve">de </w:t>
      </w:r>
      <w:r w:rsidR="00F74BFE">
        <w:t>janeiro</w:t>
      </w:r>
      <w:r w:rsidR="009020F4">
        <w:t xml:space="preserve"> </w:t>
      </w:r>
      <w:r w:rsidR="008B6BF2">
        <w:t>de 202</w:t>
      </w:r>
      <w:r w:rsidR="00F74BFE">
        <w:t>2</w:t>
      </w:r>
      <w:r w:rsidR="008B6BF2"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5D2BA82" w:rsidR="008B6BF2" w:rsidRDefault="008B6BF2">
      <w:pPr>
        <w:autoSpaceDE w:val="0"/>
        <w:jc w:val="center"/>
      </w:pPr>
      <w:r>
        <w:t xml:space="preserve">VEREADOR </w:t>
      </w:r>
      <w:r w:rsidR="00232284">
        <w:t>JESSÉ SANGALLI</w:t>
      </w:r>
    </w:p>
    <w:p w14:paraId="624C58FF" w14:textId="3BE25B59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  <w:r w:rsidR="007B38EB">
        <w:rPr>
          <w:b/>
        </w:rPr>
        <w:t xml:space="preserve"> COMPLEMENTAR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6D22442A" w14:textId="77777777" w:rsidR="00363D25" w:rsidRDefault="00363D25" w:rsidP="00A86A25">
      <w:pPr>
        <w:autoSpaceDE w:val="0"/>
        <w:ind w:left="4253"/>
        <w:jc w:val="both"/>
        <w:rPr>
          <w:b/>
          <w:bCs/>
        </w:rPr>
      </w:pPr>
    </w:p>
    <w:p w14:paraId="5E0C651A" w14:textId="44AC3A02" w:rsidR="00D651A3" w:rsidRPr="00912602" w:rsidRDefault="00932F02" w:rsidP="002A1168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Altera o art. 91-D e i</w:t>
      </w:r>
      <w:r w:rsidR="001B1AED">
        <w:rPr>
          <w:b/>
          <w:bCs/>
        </w:rPr>
        <w:t>nclui</w:t>
      </w:r>
      <w:r w:rsidR="00D476EB">
        <w:rPr>
          <w:b/>
          <w:bCs/>
        </w:rPr>
        <w:t xml:space="preserve"> </w:t>
      </w:r>
      <w:r w:rsidR="001B1AED">
        <w:rPr>
          <w:b/>
          <w:bCs/>
        </w:rPr>
        <w:t>inc. III no § 2º do art. 91-A</w:t>
      </w:r>
      <w:r>
        <w:rPr>
          <w:b/>
          <w:bCs/>
        </w:rPr>
        <w:t xml:space="preserve"> da Lei Complementar nº 12, de 7 de janeiro de 1975</w:t>
      </w:r>
      <w:r w:rsidR="00245DC9">
        <w:rPr>
          <w:b/>
          <w:bCs/>
        </w:rPr>
        <w:t xml:space="preserve"> – que institui posturas para o Município de Porto Alegre</w:t>
      </w:r>
      <w:r w:rsidR="003432D7">
        <w:rPr>
          <w:b/>
          <w:bCs/>
        </w:rPr>
        <w:t xml:space="preserve"> e dá outras providências</w:t>
      </w:r>
      <w:r w:rsidR="00245DC9">
        <w:rPr>
          <w:b/>
          <w:bCs/>
        </w:rPr>
        <w:t xml:space="preserve"> –</w:t>
      </w:r>
      <w:r w:rsidR="00E20FEB">
        <w:rPr>
          <w:b/>
          <w:bCs/>
        </w:rPr>
        <w:t xml:space="preserve">, </w:t>
      </w:r>
      <w:r w:rsidR="00D651A3">
        <w:rPr>
          <w:b/>
          <w:bCs/>
        </w:rPr>
        <w:t>incluindo a inscrição em cadastro público</w:t>
      </w:r>
      <w:r w:rsidR="00C43E77">
        <w:rPr>
          <w:b/>
          <w:bCs/>
        </w:rPr>
        <w:t xml:space="preserve"> </w:t>
      </w:r>
      <w:r w:rsidR="008D7DA6">
        <w:rPr>
          <w:b/>
          <w:bCs/>
        </w:rPr>
        <w:t xml:space="preserve">que </w:t>
      </w:r>
      <w:r w:rsidR="00C43E77">
        <w:rPr>
          <w:b/>
          <w:bCs/>
        </w:rPr>
        <w:t>imped</w:t>
      </w:r>
      <w:r w:rsidR="008D7DA6">
        <w:rPr>
          <w:b/>
          <w:bCs/>
        </w:rPr>
        <w:t>e</w:t>
      </w:r>
      <w:r w:rsidR="00C43E77">
        <w:rPr>
          <w:b/>
          <w:bCs/>
        </w:rPr>
        <w:t xml:space="preserve"> a </w:t>
      </w:r>
      <w:r w:rsidR="00164F5D">
        <w:rPr>
          <w:b/>
          <w:bCs/>
        </w:rPr>
        <w:t>nomeação para cargos em comissão</w:t>
      </w:r>
      <w:r w:rsidR="00D651A3">
        <w:rPr>
          <w:b/>
          <w:bCs/>
        </w:rPr>
        <w:t xml:space="preserve"> </w:t>
      </w:r>
      <w:r w:rsidR="002A1168">
        <w:rPr>
          <w:b/>
          <w:bCs/>
        </w:rPr>
        <w:t>no rol de sanções aplicadas ao infrator que pichar ou conspurcar edificação ou monumento público ou particular</w:t>
      </w:r>
      <w:r w:rsidR="00FA5DBF">
        <w:rPr>
          <w:b/>
          <w:bCs/>
        </w:rPr>
        <w:t xml:space="preserve">, e revoga </w:t>
      </w:r>
      <w:r w:rsidR="00FA5DBF" w:rsidRPr="00E20FEB">
        <w:rPr>
          <w:b/>
          <w:bCs/>
        </w:rPr>
        <w:t>a Lei nº 10.958, de 30 de setembro de 2010</w:t>
      </w:r>
      <w:r w:rsidR="00B03A42">
        <w:rPr>
          <w:b/>
          <w:bCs/>
        </w:rPr>
        <w:t>, que cria o Programa Antipichação</w:t>
      </w:r>
      <w:r w:rsidR="002A1168">
        <w:rPr>
          <w:b/>
          <w:bCs/>
        </w:rPr>
        <w:t xml:space="preserve">. 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4A5C1B99" w14:textId="14BD68E2" w:rsidR="00BD7A83" w:rsidRPr="00BD7A83" w:rsidRDefault="00DC24C2" w:rsidP="00BD7A83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1º</w:t>
      </w:r>
      <w:r w:rsidR="009224F7" w:rsidRPr="009224F7">
        <w:rPr>
          <w:b/>
          <w:bCs/>
        </w:rPr>
        <w:t xml:space="preserve"> </w:t>
      </w:r>
      <w:r w:rsidR="00BD7A83" w:rsidRPr="00BD7A83">
        <w:rPr>
          <w:b/>
          <w:bCs/>
        </w:rPr>
        <w:t xml:space="preserve"> </w:t>
      </w:r>
      <w:r w:rsidR="00E20FEB">
        <w:t xml:space="preserve">Inclui </w:t>
      </w:r>
      <w:r w:rsidR="007F465B" w:rsidRPr="00BD7A83">
        <w:t>inc</w:t>
      </w:r>
      <w:r w:rsidR="007F465B">
        <w:t>.</w:t>
      </w:r>
      <w:r w:rsidR="007F465B" w:rsidRPr="00BD7A83">
        <w:t xml:space="preserve"> </w:t>
      </w:r>
      <w:r w:rsidR="00BD7A83" w:rsidRPr="00BD7A83">
        <w:t xml:space="preserve">III </w:t>
      </w:r>
      <w:r w:rsidR="001B1AED">
        <w:t>n</w:t>
      </w:r>
      <w:r w:rsidR="001B1AED" w:rsidRPr="00BD7A83">
        <w:t xml:space="preserve">o </w:t>
      </w:r>
      <w:r w:rsidR="00BD7A83" w:rsidRPr="00BD7A83">
        <w:t>§</w:t>
      </w:r>
      <w:r w:rsidR="007F465B">
        <w:t xml:space="preserve"> </w:t>
      </w:r>
      <w:r w:rsidR="00BD7A83" w:rsidRPr="00BD7A83">
        <w:t xml:space="preserve">2º do </w:t>
      </w:r>
      <w:r w:rsidR="001B1AED" w:rsidRPr="00BD7A83">
        <w:t>art</w:t>
      </w:r>
      <w:r w:rsidR="001B1AED">
        <w:t>.</w:t>
      </w:r>
      <w:r w:rsidR="001B1AED" w:rsidRPr="00BD7A83">
        <w:t xml:space="preserve"> </w:t>
      </w:r>
      <w:r w:rsidR="00BD7A83" w:rsidRPr="00BD7A83">
        <w:t xml:space="preserve">91-A da Lei Complementar nº 12, de 7 de janeiro de 1975, </w:t>
      </w:r>
      <w:r w:rsidR="00BA6585">
        <w:t>e alterações posteriores, conforme segue</w:t>
      </w:r>
      <w:r w:rsidR="00BD7A83" w:rsidRPr="00BD7A83">
        <w:t>:</w:t>
      </w:r>
    </w:p>
    <w:p w14:paraId="4A9B9D3D" w14:textId="77777777" w:rsidR="00BD7A83" w:rsidRPr="00BD7A83" w:rsidRDefault="00BD7A83" w:rsidP="00BD7A83">
      <w:pPr>
        <w:autoSpaceDE w:val="0"/>
        <w:ind w:firstLine="1418"/>
        <w:jc w:val="both"/>
      </w:pPr>
    </w:p>
    <w:p w14:paraId="37AAED8B" w14:textId="0ECAA90D" w:rsidR="00BA6585" w:rsidRPr="00BD7A83" w:rsidRDefault="00BA6585" w:rsidP="00BA6585">
      <w:pPr>
        <w:autoSpaceDE w:val="0"/>
        <w:ind w:firstLine="1418"/>
        <w:jc w:val="both"/>
      </w:pPr>
      <w:r>
        <w:t>“</w:t>
      </w:r>
      <w:r w:rsidR="00BD7A83" w:rsidRPr="00BD7A83">
        <w:t>Art. 91-A</w:t>
      </w:r>
      <w:r>
        <w:t>.</w:t>
      </w:r>
      <w:r w:rsidR="00D55BDD">
        <w:t xml:space="preserve"> </w:t>
      </w:r>
      <w:r w:rsidR="00BD7A83" w:rsidRPr="00BD7A83">
        <w:t xml:space="preserve"> </w:t>
      </w:r>
      <w:r w:rsidR="00D55BDD">
        <w:t>.</w:t>
      </w:r>
      <w:r w:rsidR="00BD7A83" w:rsidRPr="00BD7A83">
        <w:t>.......................</w:t>
      </w:r>
      <w:r>
        <w:t>........................................................................................</w:t>
      </w:r>
    </w:p>
    <w:p w14:paraId="218C1F73" w14:textId="77777777" w:rsidR="00BD7A83" w:rsidRPr="00BD7A83" w:rsidRDefault="00BD7A83" w:rsidP="00BD7A83">
      <w:pPr>
        <w:autoSpaceDE w:val="0"/>
        <w:ind w:firstLine="1418"/>
        <w:jc w:val="both"/>
      </w:pPr>
    </w:p>
    <w:p w14:paraId="179F4F7A" w14:textId="0FC4195D" w:rsidR="00BD7A83" w:rsidRPr="00BD7A83" w:rsidRDefault="00BD7A83" w:rsidP="00BD7A83">
      <w:pPr>
        <w:autoSpaceDE w:val="0"/>
        <w:ind w:firstLine="1418"/>
        <w:jc w:val="both"/>
      </w:pPr>
      <w:r w:rsidRPr="00BD7A83">
        <w:t>§</w:t>
      </w:r>
      <w:r w:rsidR="00D55BDD">
        <w:t xml:space="preserve"> </w:t>
      </w:r>
      <w:r w:rsidRPr="00BD7A83">
        <w:t>1º</w:t>
      </w:r>
      <w:r w:rsidR="00D55BDD">
        <w:t xml:space="preserve">  </w:t>
      </w:r>
      <w:r w:rsidRPr="00BD7A83">
        <w:t>...</w:t>
      </w:r>
      <w:r w:rsidR="00BA6585">
        <w:t>.........................................................................................................................</w:t>
      </w:r>
    </w:p>
    <w:p w14:paraId="55B8C6D9" w14:textId="77777777" w:rsidR="00BD7A83" w:rsidRPr="00BD7A83" w:rsidRDefault="00BD7A83" w:rsidP="00BD7A83">
      <w:pPr>
        <w:autoSpaceDE w:val="0"/>
        <w:ind w:firstLine="1418"/>
        <w:jc w:val="both"/>
      </w:pPr>
    </w:p>
    <w:p w14:paraId="2CB15045" w14:textId="710DBCC1" w:rsidR="00BD7A83" w:rsidRPr="00BD7A83" w:rsidRDefault="00BD7A83" w:rsidP="00BD7A83">
      <w:pPr>
        <w:autoSpaceDE w:val="0"/>
        <w:ind w:firstLine="1418"/>
        <w:jc w:val="both"/>
      </w:pPr>
      <w:r w:rsidRPr="00BD7A83">
        <w:t>§</w:t>
      </w:r>
      <w:r w:rsidR="00D55BDD">
        <w:t xml:space="preserve"> </w:t>
      </w:r>
      <w:r w:rsidRPr="00BD7A83">
        <w:t>2º</w:t>
      </w:r>
      <w:r w:rsidR="00D55BDD">
        <w:t xml:space="preserve">  </w:t>
      </w:r>
      <w:r w:rsidRPr="00BD7A83">
        <w:t>.....</w:t>
      </w:r>
      <w:r w:rsidR="00BA6585">
        <w:t>.......................................................................................................................</w:t>
      </w:r>
    </w:p>
    <w:p w14:paraId="29612DF3" w14:textId="77777777" w:rsidR="00BD7A83" w:rsidRPr="00BD7A83" w:rsidRDefault="00BD7A83" w:rsidP="00BD7A83">
      <w:pPr>
        <w:autoSpaceDE w:val="0"/>
        <w:ind w:firstLine="1418"/>
        <w:jc w:val="both"/>
      </w:pPr>
    </w:p>
    <w:p w14:paraId="102C96AD" w14:textId="16DFD727" w:rsidR="00BD7A83" w:rsidRPr="00BD7A83" w:rsidRDefault="00BD7A83" w:rsidP="00BD7A83">
      <w:pPr>
        <w:autoSpaceDE w:val="0"/>
        <w:ind w:firstLine="1418"/>
        <w:jc w:val="both"/>
      </w:pPr>
      <w:r w:rsidRPr="00BD7A83">
        <w:t>........</w:t>
      </w:r>
      <w:r w:rsidR="00BA6585">
        <w:t>............................................................................................................................</w:t>
      </w:r>
    </w:p>
    <w:p w14:paraId="199D24B2" w14:textId="77777777" w:rsidR="00BD7A83" w:rsidRPr="00BD7A83" w:rsidRDefault="00BD7A83" w:rsidP="00BD7A83">
      <w:pPr>
        <w:autoSpaceDE w:val="0"/>
        <w:ind w:firstLine="1418"/>
        <w:jc w:val="both"/>
      </w:pPr>
    </w:p>
    <w:p w14:paraId="169495A5" w14:textId="77777777" w:rsidR="004C5ECA" w:rsidRDefault="00BD7A83" w:rsidP="00BA6585">
      <w:pPr>
        <w:autoSpaceDE w:val="0"/>
        <w:ind w:firstLine="1418"/>
        <w:jc w:val="both"/>
      </w:pPr>
      <w:r w:rsidRPr="00BD7A83">
        <w:t xml:space="preserve">III </w:t>
      </w:r>
      <w:r w:rsidR="00BA6585">
        <w:t>–</w:t>
      </w:r>
      <w:r w:rsidRPr="00BD7A83">
        <w:t xml:space="preserve"> a inscrição em cadastro público</w:t>
      </w:r>
      <w:r w:rsidR="00352950">
        <w:t>,</w:t>
      </w:r>
      <w:r w:rsidRPr="00BD7A83">
        <w:t xml:space="preserve"> por até 10 (dez) anos</w:t>
      </w:r>
      <w:r w:rsidR="00852820">
        <w:t>,</w:t>
      </w:r>
      <w:r w:rsidR="00352950">
        <w:t xml:space="preserve"> impedindo</w:t>
      </w:r>
      <w:r w:rsidRPr="00BD7A83">
        <w:t xml:space="preserve"> </w:t>
      </w:r>
      <w:r w:rsidR="00352950">
        <w:t xml:space="preserve">a </w:t>
      </w:r>
      <w:r w:rsidRPr="00BD7A83">
        <w:t xml:space="preserve">nomeação em cargos em comissão no âmbito </w:t>
      </w:r>
      <w:r w:rsidR="00852820">
        <w:t xml:space="preserve">do Legislativo Municipal e </w:t>
      </w:r>
      <w:r w:rsidRPr="00BD7A83">
        <w:t xml:space="preserve">da Administração Direta e Indireta do Executivo </w:t>
      </w:r>
      <w:r w:rsidR="00852820">
        <w:t>Municipal</w:t>
      </w:r>
      <w:r w:rsidRPr="00BD7A83">
        <w:t>.</w:t>
      </w:r>
    </w:p>
    <w:p w14:paraId="2195621E" w14:textId="77777777" w:rsidR="004C5ECA" w:rsidRDefault="004C5ECA" w:rsidP="00BA6585">
      <w:pPr>
        <w:autoSpaceDE w:val="0"/>
        <w:ind w:firstLine="1418"/>
        <w:jc w:val="both"/>
      </w:pPr>
    </w:p>
    <w:p w14:paraId="3C957CD5" w14:textId="7C0C1006" w:rsidR="00BD7A83" w:rsidRPr="00BD7A83" w:rsidRDefault="004C5ECA" w:rsidP="00BA6585">
      <w:pPr>
        <w:autoSpaceDE w:val="0"/>
        <w:ind w:firstLine="1418"/>
        <w:jc w:val="both"/>
      </w:pPr>
      <w:r>
        <w:t>.........................................................................................................................</w:t>
      </w:r>
      <w:r w:rsidR="00BD7A83" w:rsidRPr="00BD7A83">
        <w:t>”</w:t>
      </w:r>
      <w:r w:rsidR="00BA6585">
        <w:t xml:space="preserve"> (NR)</w:t>
      </w:r>
    </w:p>
    <w:p w14:paraId="4DE2CBBF" w14:textId="77777777" w:rsidR="00BD7A83" w:rsidRPr="00BD7A83" w:rsidRDefault="00BD7A83" w:rsidP="00BD7A83">
      <w:pPr>
        <w:autoSpaceDE w:val="0"/>
        <w:ind w:firstLine="1418"/>
        <w:jc w:val="both"/>
      </w:pPr>
    </w:p>
    <w:p w14:paraId="2F7432E5" w14:textId="28CEEE3C" w:rsidR="00BD7A83" w:rsidRPr="00BD7A83" w:rsidRDefault="00BD7A83" w:rsidP="00BD7A83">
      <w:pPr>
        <w:autoSpaceDE w:val="0"/>
        <w:ind w:firstLine="1418"/>
        <w:jc w:val="both"/>
      </w:pPr>
      <w:r w:rsidRPr="00BD7A83">
        <w:rPr>
          <w:b/>
          <w:bCs/>
        </w:rPr>
        <w:t xml:space="preserve">Art. 2º </w:t>
      </w:r>
      <w:r w:rsidR="00852820">
        <w:rPr>
          <w:b/>
          <w:bCs/>
        </w:rPr>
        <w:t xml:space="preserve"> </w:t>
      </w:r>
      <w:r w:rsidR="00852820">
        <w:t xml:space="preserve">Fica alterado </w:t>
      </w:r>
      <w:r w:rsidRPr="00BD7A83">
        <w:t xml:space="preserve">o </w:t>
      </w:r>
      <w:r w:rsidR="00284E08">
        <w:t>art.</w:t>
      </w:r>
      <w:r w:rsidR="00284E08" w:rsidRPr="00BD7A83">
        <w:t xml:space="preserve"> </w:t>
      </w:r>
      <w:r w:rsidRPr="00BD7A83">
        <w:t xml:space="preserve">91-D da Lei Complementar nº 12, de 1975, </w:t>
      </w:r>
      <w:r w:rsidR="00852820">
        <w:t>e alterações posteriores, conforme segue</w:t>
      </w:r>
      <w:r w:rsidRPr="00BD7A83">
        <w:t>:</w:t>
      </w:r>
    </w:p>
    <w:p w14:paraId="4A242B70" w14:textId="77777777" w:rsidR="00BD7A83" w:rsidRPr="00BD7A83" w:rsidRDefault="00BD7A83" w:rsidP="00BD7A83">
      <w:pPr>
        <w:autoSpaceDE w:val="0"/>
        <w:ind w:firstLine="1418"/>
        <w:jc w:val="both"/>
      </w:pPr>
    </w:p>
    <w:p w14:paraId="68A34F9C" w14:textId="49177110" w:rsidR="00BD7A83" w:rsidRPr="00BD7A83" w:rsidRDefault="003B0503" w:rsidP="00BD7A83">
      <w:pPr>
        <w:autoSpaceDE w:val="0"/>
        <w:ind w:firstLine="1418"/>
        <w:jc w:val="both"/>
      </w:pPr>
      <w:r>
        <w:t>“</w:t>
      </w:r>
      <w:r w:rsidR="00BD7A83" w:rsidRPr="00BD7A83">
        <w:t>Art. 91-D</w:t>
      </w:r>
      <w:r>
        <w:t>.</w:t>
      </w:r>
      <w:r w:rsidR="00BD7A83" w:rsidRPr="00BD7A83">
        <w:t xml:space="preserve"> </w:t>
      </w:r>
      <w:r>
        <w:t xml:space="preserve"> </w:t>
      </w:r>
      <w:r w:rsidR="00BD7A83" w:rsidRPr="00BD7A83">
        <w:t>Em caso de reincidência das infrações estabelecidas nesta Lei Complementar ou quando a prática da conduta por ela vedada acarretar dano ao patrimônio público tombado, a sanção de multa será aplicada em dobro</w:t>
      </w:r>
      <w:r w:rsidR="005403D9">
        <w:t>, bem como</w:t>
      </w:r>
      <w:r w:rsidR="00BD7A83" w:rsidRPr="00BD7A83">
        <w:t xml:space="preserve"> a inscrição em cadastro público</w:t>
      </w:r>
      <w:r w:rsidR="005403D9">
        <w:t>, no caso</w:t>
      </w:r>
      <w:r w:rsidR="00BD7A83" w:rsidRPr="00BD7A83">
        <w:t xml:space="preserve"> </w:t>
      </w:r>
      <w:r>
        <w:t>referido no inc. III do § 2º do art. 91-A desta Lei Complementar</w:t>
      </w:r>
      <w:r w:rsidR="005403D9">
        <w:t>,</w:t>
      </w:r>
      <w:r>
        <w:t xml:space="preserve"> </w:t>
      </w:r>
      <w:r w:rsidR="00BD7A83" w:rsidRPr="00BD7A83">
        <w:t xml:space="preserve">permanecerá por 20 </w:t>
      </w:r>
      <w:r w:rsidR="00D64000">
        <w:t xml:space="preserve">(vinte) </w:t>
      </w:r>
      <w:r w:rsidR="00BD7A83" w:rsidRPr="00BD7A83">
        <w:t>anos</w:t>
      </w:r>
      <w:r w:rsidRPr="00BD7A83">
        <w:t>.</w:t>
      </w:r>
      <w:r>
        <w:t>”</w:t>
      </w:r>
      <w:r w:rsidRPr="00BD7A83">
        <w:t xml:space="preserve"> </w:t>
      </w:r>
      <w:r w:rsidR="00BD7A83" w:rsidRPr="00BD7A83">
        <w:t>(NR)</w:t>
      </w:r>
    </w:p>
    <w:p w14:paraId="5C321166" w14:textId="77777777" w:rsidR="00BD7A83" w:rsidRPr="00BD7A83" w:rsidRDefault="00BD7A83" w:rsidP="00BD7A83">
      <w:pPr>
        <w:autoSpaceDE w:val="0"/>
        <w:ind w:firstLine="1418"/>
        <w:jc w:val="both"/>
      </w:pPr>
    </w:p>
    <w:p w14:paraId="1AAFBEE3" w14:textId="79917D3C" w:rsidR="00D72B34" w:rsidRDefault="00BD7A83" w:rsidP="00BD7A83">
      <w:pPr>
        <w:autoSpaceDE w:val="0"/>
        <w:ind w:firstLine="1418"/>
        <w:jc w:val="both"/>
      </w:pPr>
      <w:r w:rsidRPr="00BD7A83">
        <w:rPr>
          <w:b/>
          <w:bCs/>
        </w:rPr>
        <w:t xml:space="preserve">Art. </w:t>
      </w:r>
      <w:r w:rsidR="00806DAC">
        <w:rPr>
          <w:b/>
          <w:bCs/>
        </w:rPr>
        <w:t>3</w:t>
      </w:r>
      <w:r w:rsidR="00806DAC" w:rsidRPr="00BD7A83">
        <w:rPr>
          <w:b/>
          <w:bCs/>
        </w:rPr>
        <w:t>º</w:t>
      </w:r>
      <w:r w:rsidR="00806DAC">
        <w:rPr>
          <w:b/>
          <w:bCs/>
        </w:rPr>
        <w:t xml:space="preserve"> </w:t>
      </w:r>
      <w:r w:rsidR="00806DAC" w:rsidRPr="00BD7A83">
        <w:rPr>
          <w:b/>
          <w:bCs/>
        </w:rPr>
        <w:t xml:space="preserve"> </w:t>
      </w:r>
      <w:r w:rsidRPr="00BD7A83">
        <w:t xml:space="preserve">Esta Lei </w:t>
      </w:r>
      <w:r w:rsidR="00806DAC">
        <w:t xml:space="preserve">Complementar </w:t>
      </w:r>
      <w:r w:rsidRPr="00BD7A83">
        <w:t>entra em vigor na data de sua publicação.</w:t>
      </w:r>
    </w:p>
    <w:p w14:paraId="2F47963E" w14:textId="77777777" w:rsidR="00806DAC" w:rsidRDefault="00806DAC" w:rsidP="00BD7A83">
      <w:pPr>
        <w:autoSpaceDE w:val="0"/>
        <w:ind w:firstLine="1418"/>
        <w:jc w:val="both"/>
      </w:pPr>
    </w:p>
    <w:p w14:paraId="73008137" w14:textId="1325CFC7" w:rsidR="00806DAC" w:rsidRPr="00BD7A83" w:rsidRDefault="00806DAC" w:rsidP="00806DAC">
      <w:pPr>
        <w:autoSpaceDE w:val="0"/>
        <w:ind w:firstLine="1418"/>
        <w:jc w:val="both"/>
      </w:pPr>
      <w:r w:rsidRPr="00BD7A83">
        <w:rPr>
          <w:b/>
          <w:bCs/>
        </w:rPr>
        <w:t xml:space="preserve">Art. </w:t>
      </w:r>
      <w:r>
        <w:rPr>
          <w:b/>
          <w:bCs/>
        </w:rPr>
        <w:t>4</w:t>
      </w:r>
      <w:r w:rsidRPr="00BD7A83">
        <w:rPr>
          <w:b/>
          <w:bCs/>
        </w:rPr>
        <w:t>º</w:t>
      </w:r>
      <w:r>
        <w:rPr>
          <w:b/>
          <w:bCs/>
        </w:rPr>
        <w:t xml:space="preserve"> </w:t>
      </w:r>
      <w:r w:rsidRPr="00BD7A83">
        <w:rPr>
          <w:b/>
          <w:bCs/>
        </w:rPr>
        <w:t xml:space="preserve"> </w:t>
      </w:r>
      <w:r w:rsidRPr="00E20FEB">
        <w:t xml:space="preserve">Fica </w:t>
      </w:r>
      <w:r>
        <w:t>r</w:t>
      </w:r>
      <w:r w:rsidRPr="00BD7A83">
        <w:t>evoga</w:t>
      </w:r>
      <w:r>
        <w:t>da</w:t>
      </w:r>
      <w:r w:rsidRPr="00BD7A83">
        <w:t xml:space="preserve"> a Lei nº 10.958, de 30 de setembro de 2010. </w:t>
      </w:r>
    </w:p>
    <w:p w14:paraId="1CF80C67" w14:textId="77777777" w:rsidR="00806DAC" w:rsidRPr="00BD7A83" w:rsidRDefault="00806DAC" w:rsidP="00BD7A83">
      <w:pPr>
        <w:autoSpaceDE w:val="0"/>
        <w:ind w:firstLine="1418"/>
        <w:jc w:val="both"/>
        <w:rPr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380D" w14:textId="77777777" w:rsidR="00AF06A6" w:rsidRDefault="00AF06A6">
      <w:r>
        <w:separator/>
      </w:r>
    </w:p>
  </w:endnote>
  <w:endnote w:type="continuationSeparator" w:id="0">
    <w:p w14:paraId="080F199A" w14:textId="77777777" w:rsidR="00AF06A6" w:rsidRDefault="00AF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FC2" w14:textId="77777777" w:rsidR="00DE1243" w:rsidRDefault="00DE12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232B" w14:textId="77777777" w:rsidR="00DE1243" w:rsidRDefault="00DE12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6C13" w14:textId="77777777" w:rsidR="00DE1243" w:rsidRDefault="00DE12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5C0A" w14:textId="77777777" w:rsidR="00AF06A6" w:rsidRDefault="00AF06A6">
      <w:r>
        <w:separator/>
      </w:r>
    </w:p>
  </w:footnote>
  <w:footnote w:type="continuationSeparator" w:id="0">
    <w:p w14:paraId="2AACB33F" w14:textId="77777777" w:rsidR="00AF06A6" w:rsidRDefault="00AF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F295" w14:textId="77777777" w:rsidR="00DE1243" w:rsidRDefault="00DE12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894A" w14:textId="77777777" w:rsidR="00DE1243" w:rsidRDefault="00DE1243" w:rsidP="00DE1243">
    <w:pPr>
      <w:pStyle w:val="Cabealho"/>
      <w:jc w:val="right"/>
      <w:rPr>
        <w:b/>
        <w:bCs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6D6DEB75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A55582">
      <w:rPr>
        <w:b/>
        <w:bCs/>
      </w:rPr>
      <w:t>0031</w:t>
    </w:r>
    <w:r>
      <w:rPr>
        <w:b/>
        <w:bCs/>
      </w:rPr>
      <w:t>/2</w:t>
    </w:r>
    <w:r w:rsidR="00A55582">
      <w:rPr>
        <w:b/>
        <w:bCs/>
      </w:rPr>
      <w:t>2</w:t>
    </w:r>
  </w:p>
  <w:p w14:paraId="5FC7BBF2" w14:textId="6EAE9A3F" w:rsidR="008B6BF2" w:rsidRDefault="008B6BF2">
    <w:pPr>
      <w:pStyle w:val="Cabealho"/>
      <w:jc w:val="right"/>
    </w:pPr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 xml:space="preserve">L   Nº     </w:t>
    </w:r>
    <w:r w:rsidR="005F3423">
      <w:rPr>
        <w:b/>
        <w:bCs/>
      </w:rPr>
      <w:t>0</w:t>
    </w:r>
    <w:r w:rsidR="00A55582">
      <w:rPr>
        <w:b/>
        <w:bCs/>
      </w:rPr>
      <w:t>0</w:t>
    </w:r>
    <w:r w:rsidR="00AB07FD">
      <w:rPr>
        <w:b/>
        <w:bCs/>
      </w:rPr>
      <w:t>2</w:t>
    </w:r>
    <w:r>
      <w:rPr>
        <w:b/>
        <w:bCs/>
      </w:rPr>
      <w:t>/2</w:t>
    </w:r>
    <w:r w:rsidR="00A55582">
      <w:rPr>
        <w:b/>
        <w:bCs/>
      </w:rPr>
      <w:t>2</w:t>
    </w: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C41" w14:textId="77777777" w:rsidR="00DE1243" w:rsidRDefault="00DE12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582333">
    <w:abstractNumId w:val="0"/>
  </w:num>
  <w:num w:numId="2" w16cid:durableId="1132820991">
    <w:abstractNumId w:val="1"/>
  </w:num>
  <w:num w:numId="3" w16cid:durableId="113830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4721C"/>
    <w:rsid w:val="00047E1D"/>
    <w:rsid w:val="00054001"/>
    <w:rsid w:val="00054833"/>
    <w:rsid w:val="00065DEB"/>
    <w:rsid w:val="00090194"/>
    <w:rsid w:val="000935FF"/>
    <w:rsid w:val="00093F2B"/>
    <w:rsid w:val="00094748"/>
    <w:rsid w:val="00097F32"/>
    <w:rsid w:val="000A04A9"/>
    <w:rsid w:val="000D063D"/>
    <w:rsid w:val="000D13EE"/>
    <w:rsid w:val="000E0038"/>
    <w:rsid w:val="000E2EDD"/>
    <w:rsid w:val="000F1033"/>
    <w:rsid w:val="00123051"/>
    <w:rsid w:val="00145FAB"/>
    <w:rsid w:val="00150981"/>
    <w:rsid w:val="00164F5D"/>
    <w:rsid w:val="0016779A"/>
    <w:rsid w:val="00180280"/>
    <w:rsid w:val="0018765B"/>
    <w:rsid w:val="0019665D"/>
    <w:rsid w:val="001A3CC7"/>
    <w:rsid w:val="001B1AED"/>
    <w:rsid w:val="001B41B5"/>
    <w:rsid w:val="001C5A7F"/>
    <w:rsid w:val="001D30EC"/>
    <w:rsid w:val="001F30E4"/>
    <w:rsid w:val="001F6066"/>
    <w:rsid w:val="00203031"/>
    <w:rsid w:val="00205053"/>
    <w:rsid w:val="00212700"/>
    <w:rsid w:val="00212D1D"/>
    <w:rsid w:val="00225E66"/>
    <w:rsid w:val="00227A0C"/>
    <w:rsid w:val="0023163C"/>
    <w:rsid w:val="00232284"/>
    <w:rsid w:val="002323F3"/>
    <w:rsid w:val="00243728"/>
    <w:rsid w:val="00245DC9"/>
    <w:rsid w:val="002521C2"/>
    <w:rsid w:val="00265EE4"/>
    <w:rsid w:val="00270B2A"/>
    <w:rsid w:val="00273049"/>
    <w:rsid w:val="00282352"/>
    <w:rsid w:val="00282C3B"/>
    <w:rsid w:val="00284E08"/>
    <w:rsid w:val="00287CF0"/>
    <w:rsid w:val="002A1168"/>
    <w:rsid w:val="002A4377"/>
    <w:rsid w:val="002C1E44"/>
    <w:rsid w:val="002E2D60"/>
    <w:rsid w:val="003079B0"/>
    <w:rsid w:val="00313F85"/>
    <w:rsid w:val="0031768B"/>
    <w:rsid w:val="00324D8A"/>
    <w:rsid w:val="00332886"/>
    <w:rsid w:val="003432D7"/>
    <w:rsid w:val="0035168D"/>
    <w:rsid w:val="00352950"/>
    <w:rsid w:val="00360633"/>
    <w:rsid w:val="00363D25"/>
    <w:rsid w:val="00363FE0"/>
    <w:rsid w:val="00364D55"/>
    <w:rsid w:val="003826B5"/>
    <w:rsid w:val="003A246C"/>
    <w:rsid w:val="003B0503"/>
    <w:rsid w:val="003C3313"/>
    <w:rsid w:val="003C419F"/>
    <w:rsid w:val="003C5322"/>
    <w:rsid w:val="003D0F88"/>
    <w:rsid w:val="003D26DF"/>
    <w:rsid w:val="003E0CF7"/>
    <w:rsid w:val="003E65CA"/>
    <w:rsid w:val="003F05F9"/>
    <w:rsid w:val="00416611"/>
    <w:rsid w:val="00435FC3"/>
    <w:rsid w:val="004477A8"/>
    <w:rsid w:val="00475628"/>
    <w:rsid w:val="00494F29"/>
    <w:rsid w:val="004B02DF"/>
    <w:rsid w:val="004B3C78"/>
    <w:rsid w:val="004B63F6"/>
    <w:rsid w:val="004C5ECA"/>
    <w:rsid w:val="004D1F11"/>
    <w:rsid w:val="004D44B4"/>
    <w:rsid w:val="004D5053"/>
    <w:rsid w:val="00500F63"/>
    <w:rsid w:val="00515ADF"/>
    <w:rsid w:val="00531BC0"/>
    <w:rsid w:val="005403D9"/>
    <w:rsid w:val="00540B95"/>
    <w:rsid w:val="00560BCB"/>
    <w:rsid w:val="005951C1"/>
    <w:rsid w:val="005A7809"/>
    <w:rsid w:val="005D028B"/>
    <w:rsid w:val="005D6F14"/>
    <w:rsid w:val="005E553B"/>
    <w:rsid w:val="005E7FD9"/>
    <w:rsid w:val="005F3423"/>
    <w:rsid w:val="005F6105"/>
    <w:rsid w:val="0060373E"/>
    <w:rsid w:val="006233A8"/>
    <w:rsid w:val="00626032"/>
    <w:rsid w:val="00631AC3"/>
    <w:rsid w:val="0063568E"/>
    <w:rsid w:val="00650A78"/>
    <w:rsid w:val="0065211C"/>
    <w:rsid w:val="006814A4"/>
    <w:rsid w:val="00690CA6"/>
    <w:rsid w:val="006925AD"/>
    <w:rsid w:val="00697DAF"/>
    <w:rsid w:val="006C0AD2"/>
    <w:rsid w:val="006C3276"/>
    <w:rsid w:val="006D0AA9"/>
    <w:rsid w:val="006E520A"/>
    <w:rsid w:val="006E6F24"/>
    <w:rsid w:val="006F52A4"/>
    <w:rsid w:val="00700051"/>
    <w:rsid w:val="00707C94"/>
    <w:rsid w:val="00712CDF"/>
    <w:rsid w:val="00715244"/>
    <w:rsid w:val="0072611E"/>
    <w:rsid w:val="007270D4"/>
    <w:rsid w:val="0073005C"/>
    <w:rsid w:val="00731850"/>
    <w:rsid w:val="00754AB7"/>
    <w:rsid w:val="0075795F"/>
    <w:rsid w:val="00762E6B"/>
    <w:rsid w:val="00774923"/>
    <w:rsid w:val="00781B63"/>
    <w:rsid w:val="007B0B60"/>
    <w:rsid w:val="007B38EB"/>
    <w:rsid w:val="007D160F"/>
    <w:rsid w:val="007D61BD"/>
    <w:rsid w:val="007E34F7"/>
    <w:rsid w:val="007E3A20"/>
    <w:rsid w:val="007F1410"/>
    <w:rsid w:val="007F465B"/>
    <w:rsid w:val="00805FFD"/>
    <w:rsid w:val="00806DAC"/>
    <w:rsid w:val="00821B56"/>
    <w:rsid w:val="0083085B"/>
    <w:rsid w:val="00833DCE"/>
    <w:rsid w:val="00843FDC"/>
    <w:rsid w:val="00852820"/>
    <w:rsid w:val="008531EA"/>
    <w:rsid w:val="00860B7C"/>
    <w:rsid w:val="0087751F"/>
    <w:rsid w:val="00884955"/>
    <w:rsid w:val="0089729E"/>
    <w:rsid w:val="008A24E4"/>
    <w:rsid w:val="008A4CAF"/>
    <w:rsid w:val="008B6BF2"/>
    <w:rsid w:val="008D7DA6"/>
    <w:rsid w:val="008E741A"/>
    <w:rsid w:val="008F7ECF"/>
    <w:rsid w:val="009020F4"/>
    <w:rsid w:val="00902AC8"/>
    <w:rsid w:val="00903C4D"/>
    <w:rsid w:val="00912198"/>
    <w:rsid w:val="00912602"/>
    <w:rsid w:val="009224F7"/>
    <w:rsid w:val="00932F02"/>
    <w:rsid w:val="00933AE8"/>
    <w:rsid w:val="00952324"/>
    <w:rsid w:val="00961094"/>
    <w:rsid w:val="009640A6"/>
    <w:rsid w:val="009742D0"/>
    <w:rsid w:val="009756F6"/>
    <w:rsid w:val="00976013"/>
    <w:rsid w:val="009840DC"/>
    <w:rsid w:val="009842B9"/>
    <w:rsid w:val="009A1C17"/>
    <w:rsid w:val="009A723B"/>
    <w:rsid w:val="009B3C49"/>
    <w:rsid w:val="009D136A"/>
    <w:rsid w:val="009F2545"/>
    <w:rsid w:val="009F606C"/>
    <w:rsid w:val="00A05517"/>
    <w:rsid w:val="00A065DA"/>
    <w:rsid w:val="00A17012"/>
    <w:rsid w:val="00A24331"/>
    <w:rsid w:val="00A46B25"/>
    <w:rsid w:val="00A55075"/>
    <w:rsid w:val="00A552CE"/>
    <w:rsid w:val="00A55582"/>
    <w:rsid w:val="00A77509"/>
    <w:rsid w:val="00A77C70"/>
    <w:rsid w:val="00A86A25"/>
    <w:rsid w:val="00A97732"/>
    <w:rsid w:val="00AA1A6C"/>
    <w:rsid w:val="00AB07FD"/>
    <w:rsid w:val="00AB5ED0"/>
    <w:rsid w:val="00AB630A"/>
    <w:rsid w:val="00AC5571"/>
    <w:rsid w:val="00AC7520"/>
    <w:rsid w:val="00AF06A6"/>
    <w:rsid w:val="00B01173"/>
    <w:rsid w:val="00B03A42"/>
    <w:rsid w:val="00B03B5F"/>
    <w:rsid w:val="00B15139"/>
    <w:rsid w:val="00B557AB"/>
    <w:rsid w:val="00B74BF6"/>
    <w:rsid w:val="00B90DE4"/>
    <w:rsid w:val="00BA09E6"/>
    <w:rsid w:val="00BA295F"/>
    <w:rsid w:val="00BA6585"/>
    <w:rsid w:val="00BB1A0B"/>
    <w:rsid w:val="00BC1B1B"/>
    <w:rsid w:val="00BC24D3"/>
    <w:rsid w:val="00BD7A83"/>
    <w:rsid w:val="00C00365"/>
    <w:rsid w:val="00C22398"/>
    <w:rsid w:val="00C22F86"/>
    <w:rsid w:val="00C30A2B"/>
    <w:rsid w:val="00C32535"/>
    <w:rsid w:val="00C41B02"/>
    <w:rsid w:val="00C43E77"/>
    <w:rsid w:val="00C71BE9"/>
    <w:rsid w:val="00C74CDE"/>
    <w:rsid w:val="00C852D4"/>
    <w:rsid w:val="00CB0C8E"/>
    <w:rsid w:val="00CB230E"/>
    <w:rsid w:val="00CC008C"/>
    <w:rsid w:val="00CC6A8D"/>
    <w:rsid w:val="00CE47E5"/>
    <w:rsid w:val="00D00F79"/>
    <w:rsid w:val="00D07427"/>
    <w:rsid w:val="00D26FEE"/>
    <w:rsid w:val="00D4066B"/>
    <w:rsid w:val="00D438E6"/>
    <w:rsid w:val="00D476EB"/>
    <w:rsid w:val="00D55BDD"/>
    <w:rsid w:val="00D6002A"/>
    <w:rsid w:val="00D61E79"/>
    <w:rsid w:val="00D64000"/>
    <w:rsid w:val="00D651A3"/>
    <w:rsid w:val="00D70DBB"/>
    <w:rsid w:val="00D7112D"/>
    <w:rsid w:val="00D7232F"/>
    <w:rsid w:val="00D72B34"/>
    <w:rsid w:val="00D76309"/>
    <w:rsid w:val="00D90F12"/>
    <w:rsid w:val="00D96277"/>
    <w:rsid w:val="00DA3E29"/>
    <w:rsid w:val="00DB596D"/>
    <w:rsid w:val="00DC2497"/>
    <w:rsid w:val="00DC24C2"/>
    <w:rsid w:val="00DC5C0B"/>
    <w:rsid w:val="00DC6A4C"/>
    <w:rsid w:val="00DD370C"/>
    <w:rsid w:val="00DE0CB0"/>
    <w:rsid w:val="00DE1243"/>
    <w:rsid w:val="00DE2B14"/>
    <w:rsid w:val="00DF1CD8"/>
    <w:rsid w:val="00DF596C"/>
    <w:rsid w:val="00E12575"/>
    <w:rsid w:val="00E13CAA"/>
    <w:rsid w:val="00E20FEB"/>
    <w:rsid w:val="00E26902"/>
    <w:rsid w:val="00E44034"/>
    <w:rsid w:val="00E44862"/>
    <w:rsid w:val="00E53802"/>
    <w:rsid w:val="00E6141E"/>
    <w:rsid w:val="00E645BC"/>
    <w:rsid w:val="00E813EA"/>
    <w:rsid w:val="00E862F2"/>
    <w:rsid w:val="00E91C24"/>
    <w:rsid w:val="00EA23A4"/>
    <w:rsid w:val="00EB390A"/>
    <w:rsid w:val="00EB66DC"/>
    <w:rsid w:val="00EC6352"/>
    <w:rsid w:val="00ED3CC6"/>
    <w:rsid w:val="00EF17EE"/>
    <w:rsid w:val="00EF5C5E"/>
    <w:rsid w:val="00F127A2"/>
    <w:rsid w:val="00F23244"/>
    <w:rsid w:val="00F36DB2"/>
    <w:rsid w:val="00F74BFE"/>
    <w:rsid w:val="00F92BE5"/>
    <w:rsid w:val="00F94C6F"/>
    <w:rsid w:val="00FA5DBF"/>
    <w:rsid w:val="00FC35E6"/>
    <w:rsid w:val="00FC49E4"/>
    <w:rsid w:val="00FD73AF"/>
    <w:rsid w:val="00FE12E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5C7D-7C4A-4DC0-9667-5E6C7DB8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117</TotalTime>
  <Pages>2</Pages>
  <Words>850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48</cp:revision>
  <cp:lastPrinted>1995-11-21T19:41:00Z</cp:lastPrinted>
  <dcterms:created xsi:type="dcterms:W3CDTF">2022-04-13T18:12:00Z</dcterms:created>
  <dcterms:modified xsi:type="dcterms:W3CDTF">2022-04-18T10:58:00Z</dcterms:modified>
</cp:coreProperties>
</file>