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7832F53A" w14:textId="420CC4E7" w:rsidR="00C36A1B" w:rsidRPr="00C36A1B" w:rsidRDefault="00C36A1B" w:rsidP="00C36A1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36A1B">
        <w:rPr>
          <w:bCs/>
        </w:rPr>
        <w:t xml:space="preserve">A presente </w:t>
      </w:r>
      <w:r w:rsidR="002B5CD0">
        <w:rPr>
          <w:bCs/>
        </w:rPr>
        <w:t>P</w:t>
      </w:r>
      <w:r w:rsidRPr="00C36A1B">
        <w:rPr>
          <w:bCs/>
        </w:rPr>
        <w:t xml:space="preserve">roposição tem como objetivo incluir o </w:t>
      </w:r>
      <w:r w:rsidR="002B5CD0">
        <w:rPr>
          <w:bCs/>
        </w:rPr>
        <w:t xml:space="preserve">art. </w:t>
      </w:r>
      <w:r w:rsidRPr="00C36A1B">
        <w:rPr>
          <w:bCs/>
        </w:rPr>
        <w:t xml:space="preserve">25-A na Lei Complementar nº 626, de 15 de julho de 2009, visando </w:t>
      </w:r>
      <w:r w:rsidR="002B5CD0">
        <w:rPr>
          <w:bCs/>
        </w:rPr>
        <w:t xml:space="preserve">a </w:t>
      </w:r>
      <w:r w:rsidRPr="00C36A1B">
        <w:rPr>
          <w:bCs/>
        </w:rPr>
        <w:t>possibilitar que os moradores das vias que serão objeto de intervenção para instalação de ciclovias e ciclofaixas possam se manifestar sobre a conveniência de tal obra.</w:t>
      </w:r>
    </w:p>
    <w:p w14:paraId="71EE9286" w14:textId="77777777" w:rsidR="00C36A1B" w:rsidRPr="00C36A1B" w:rsidRDefault="00C36A1B" w:rsidP="00C36A1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36A1B">
        <w:rPr>
          <w:bCs/>
        </w:rPr>
        <w:t>Reconhece-se que a bicicleta é um importante modal de transporte, servindo como forma de melhorar o fluxo nas vias das grandes cidades, além de se traduzir em um veículo sustentável e de baixo impacto ambiental.</w:t>
      </w:r>
    </w:p>
    <w:p w14:paraId="5ED06944" w14:textId="3C361A1A" w:rsidR="00C36A1B" w:rsidRPr="00C36A1B" w:rsidRDefault="00C36A1B" w:rsidP="00C36A1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36A1B">
        <w:rPr>
          <w:bCs/>
        </w:rPr>
        <w:t xml:space="preserve">Contudo, atualmente se verifica que em Porto Alegre muitas obras realizadas em </w:t>
      </w:r>
      <w:r w:rsidR="00DD72FE">
        <w:rPr>
          <w:bCs/>
        </w:rPr>
        <w:t>a</w:t>
      </w:r>
      <w:r w:rsidRPr="00C36A1B">
        <w:rPr>
          <w:bCs/>
        </w:rPr>
        <w:t>venidas e outras vias</w:t>
      </w:r>
      <w:r w:rsidR="00172D4E">
        <w:rPr>
          <w:bCs/>
        </w:rPr>
        <w:t>,</w:t>
      </w:r>
      <w:r w:rsidRPr="00C36A1B">
        <w:rPr>
          <w:bCs/>
        </w:rPr>
        <w:t> no sentido de implementar espaços destinados exclusivamente à circulação de bicicletas</w:t>
      </w:r>
      <w:r w:rsidR="00172D4E">
        <w:rPr>
          <w:bCs/>
        </w:rPr>
        <w:t>,</w:t>
      </w:r>
      <w:r w:rsidRPr="00C36A1B">
        <w:rPr>
          <w:bCs/>
        </w:rPr>
        <w:t> t</w:t>
      </w:r>
      <w:r w:rsidR="002B5CD0">
        <w:rPr>
          <w:bCs/>
        </w:rPr>
        <w:t>ê</w:t>
      </w:r>
      <w:r w:rsidRPr="00C36A1B">
        <w:rPr>
          <w:bCs/>
        </w:rPr>
        <w:t>m trazido transtornos aos moradores e empresários daqueles locais.</w:t>
      </w:r>
    </w:p>
    <w:p w14:paraId="0420D94D" w14:textId="0294291F" w:rsidR="00C36A1B" w:rsidRPr="00C36A1B" w:rsidRDefault="00C36A1B" w:rsidP="00C36A1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36A1B">
        <w:rPr>
          <w:bCs/>
        </w:rPr>
        <w:t xml:space="preserve">Entre os problemas relatados pela população, pode-se citar a piora expressiva no trânsito de veículos na região e até mesmo a impossibilidade de acesso a determinados comércios. Ou seja, além de impactos na mobilidade urbana ocasionados por algumas das intervenções realizadas, há uma piora na atividade comercial de alguns </w:t>
      </w:r>
      <w:r w:rsidR="002B5CD0">
        <w:rPr>
          <w:bCs/>
        </w:rPr>
        <w:t>B</w:t>
      </w:r>
      <w:r w:rsidRPr="00C36A1B">
        <w:rPr>
          <w:bCs/>
        </w:rPr>
        <w:t>airros, ocasionando perdas econômicas importantes para empresários de todos os portes.</w:t>
      </w:r>
    </w:p>
    <w:p w14:paraId="718950FB" w14:textId="4D402AEB" w:rsidR="00C36A1B" w:rsidRPr="00C36A1B" w:rsidRDefault="00C36A1B" w:rsidP="00C36A1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36A1B">
        <w:rPr>
          <w:bCs/>
        </w:rPr>
        <w:t>Des</w:t>
      </w:r>
      <w:r w:rsidR="002B5CD0">
        <w:rPr>
          <w:bCs/>
        </w:rPr>
        <w:t>s</w:t>
      </w:r>
      <w:r w:rsidRPr="00C36A1B">
        <w:rPr>
          <w:bCs/>
        </w:rPr>
        <w:t xml:space="preserve">a forma, no sentido </w:t>
      </w:r>
      <w:r w:rsidR="002B5CD0">
        <w:rPr>
          <w:bCs/>
        </w:rPr>
        <w:t xml:space="preserve">de </w:t>
      </w:r>
      <w:r w:rsidRPr="00C36A1B">
        <w:rPr>
          <w:bCs/>
        </w:rPr>
        <w:t>que o Plano Diretor Cicloviário seja concretizado em estreito di</w:t>
      </w:r>
      <w:r w:rsidR="002B5CD0">
        <w:rPr>
          <w:bCs/>
        </w:rPr>
        <w:t>á</w:t>
      </w:r>
      <w:r w:rsidRPr="00C36A1B">
        <w:rPr>
          <w:bCs/>
        </w:rPr>
        <w:t xml:space="preserve">logo com a </w:t>
      </w:r>
      <w:r w:rsidR="00172D4E">
        <w:rPr>
          <w:bCs/>
        </w:rPr>
        <w:t>C</w:t>
      </w:r>
      <w:r w:rsidRPr="00C36A1B">
        <w:rPr>
          <w:bCs/>
        </w:rPr>
        <w:t xml:space="preserve">idade e seus habitantes, especialmente considerando que a cidade é um ambiente vivo em constante mutação, e respeitando as necessidades daqueles que vivem e trabalham nos locais afetados, é que se propõe a realização de uma consulta prévia à comunidade sobre a instalação de ciclovias e ciclofaixas </w:t>
      </w:r>
      <w:proofErr w:type="gramStart"/>
      <w:r w:rsidRPr="00C36A1B">
        <w:rPr>
          <w:bCs/>
        </w:rPr>
        <w:t>na vias</w:t>
      </w:r>
      <w:proofErr w:type="gramEnd"/>
      <w:r w:rsidRPr="00C36A1B">
        <w:rPr>
          <w:bCs/>
        </w:rPr>
        <w:t xml:space="preserve"> de circulação de Porto Alegre. </w:t>
      </w:r>
    </w:p>
    <w:p w14:paraId="32791A10" w14:textId="31BB5364" w:rsidR="00C36A1B" w:rsidRPr="00C36A1B" w:rsidRDefault="00C36A1B" w:rsidP="00C36A1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36A1B">
        <w:rPr>
          <w:bCs/>
        </w:rPr>
        <w:t xml:space="preserve">Assim, face o exposto, rogo o apoio dos demais colegas para a aprovação do presente </w:t>
      </w:r>
      <w:r w:rsidR="008044F5">
        <w:rPr>
          <w:bCs/>
        </w:rPr>
        <w:t>P</w:t>
      </w:r>
      <w:r w:rsidRPr="00C36A1B">
        <w:rPr>
          <w:bCs/>
        </w:rPr>
        <w:t>rojeto de Lei Complementar.</w:t>
      </w:r>
    </w:p>
    <w:p w14:paraId="207A637A" w14:textId="1DE69ECC" w:rsidR="00CA71FF" w:rsidRDefault="00CA71FF" w:rsidP="00EC158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Sessões, </w:t>
      </w:r>
      <w:r w:rsidR="00C36A1B">
        <w:rPr>
          <w:bCs/>
        </w:rPr>
        <w:t>3</w:t>
      </w:r>
      <w:r w:rsidR="005521F3">
        <w:rPr>
          <w:bCs/>
        </w:rPr>
        <w:t xml:space="preserve"> de </w:t>
      </w:r>
      <w:r w:rsidR="00C36A1B">
        <w:rPr>
          <w:bCs/>
        </w:rPr>
        <w:t xml:space="preserve">fevereiro </w:t>
      </w:r>
      <w:r w:rsidR="00EC158B">
        <w:rPr>
          <w:bCs/>
        </w:rPr>
        <w:t>de 2022</w:t>
      </w:r>
      <w:r>
        <w:rPr>
          <w:bCs/>
        </w:rPr>
        <w:t>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96D08A0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0F953FCE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02687A89" w14:textId="77777777" w:rsidR="00222C8B" w:rsidRDefault="00222C8B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328BA004" w:rsidR="00423040" w:rsidRDefault="00DF120B" w:rsidP="00655160">
      <w:pPr>
        <w:autoSpaceDE w:val="0"/>
        <w:autoSpaceDN w:val="0"/>
        <w:adjustRightInd w:val="0"/>
        <w:jc w:val="center"/>
      </w:pPr>
      <w:r>
        <w:t>VEREADOR</w:t>
      </w:r>
      <w:r w:rsidR="00C36A1B">
        <w:t xml:space="preserve"> IDENIR CECCHIM</w:t>
      </w:r>
    </w:p>
    <w:p w14:paraId="615E2065" w14:textId="52FF7DBD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  <w:r w:rsidR="005521F3">
        <w:rPr>
          <w:b/>
        </w:rPr>
        <w:t xml:space="preserve"> COMPLEMENTAR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BBA7715" w14:textId="6F9C71D3" w:rsidR="00977264" w:rsidRPr="00876113" w:rsidRDefault="00C61D94" w:rsidP="00DF120B">
      <w:pPr>
        <w:autoSpaceDE w:val="0"/>
        <w:autoSpaceDN w:val="0"/>
        <w:adjustRightInd w:val="0"/>
        <w:ind w:left="4320"/>
        <w:jc w:val="both"/>
        <w:rPr>
          <w:b/>
          <w:bCs/>
        </w:rPr>
      </w:pPr>
      <w:r w:rsidRPr="00270352">
        <w:rPr>
          <w:b/>
        </w:rPr>
        <w:t xml:space="preserve">Inclui </w:t>
      </w:r>
      <w:r w:rsidR="00270352">
        <w:rPr>
          <w:b/>
        </w:rPr>
        <w:t xml:space="preserve">art. </w:t>
      </w:r>
      <w:r w:rsidRPr="00270352">
        <w:rPr>
          <w:b/>
        </w:rPr>
        <w:t xml:space="preserve">25-A na Lei Complementar nº 626, de 15 de julho de 2009 – </w:t>
      </w:r>
      <w:proofErr w:type="gramStart"/>
      <w:r w:rsidRPr="00270352">
        <w:rPr>
          <w:b/>
        </w:rPr>
        <w:t>que Institui</w:t>
      </w:r>
      <w:proofErr w:type="gramEnd"/>
      <w:r w:rsidRPr="00270352">
        <w:rPr>
          <w:b/>
        </w:rPr>
        <w:t xml:space="preserve"> o Plano Diretor Cicloviário e dá outras providências</w:t>
      </w:r>
      <w:r w:rsidR="00270352" w:rsidRPr="00270352">
        <w:rPr>
          <w:b/>
        </w:rPr>
        <w:t xml:space="preserve">, </w:t>
      </w:r>
      <w:r w:rsidR="00270352">
        <w:rPr>
          <w:b/>
        </w:rPr>
        <w:t xml:space="preserve">e alterações posteriores, </w:t>
      </w:r>
      <w:r w:rsidR="00270352" w:rsidRPr="00270352">
        <w:rPr>
          <w:b/>
        </w:rPr>
        <w:t xml:space="preserve">condicionando a </w:t>
      </w:r>
      <w:r w:rsidR="00270352" w:rsidRPr="00876113">
        <w:rPr>
          <w:b/>
        </w:rPr>
        <w:t xml:space="preserve">implementação de ciclovias e ciclofaixas à consulta e </w:t>
      </w:r>
      <w:r w:rsidR="00E02B76">
        <w:rPr>
          <w:b/>
        </w:rPr>
        <w:t xml:space="preserve">à </w:t>
      </w:r>
      <w:r w:rsidR="00270352" w:rsidRPr="00876113">
        <w:rPr>
          <w:b/>
        </w:rPr>
        <w:t xml:space="preserve">aprovação prévia dos </w:t>
      </w:r>
      <w:r w:rsidR="00241C54">
        <w:rPr>
          <w:b/>
        </w:rPr>
        <w:t xml:space="preserve">empresários e </w:t>
      </w:r>
      <w:r w:rsidR="00270352" w:rsidRPr="00876113">
        <w:rPr>
          <w:b/>
        </w:rPr>
        <w:t>moradores da via que será objeto de intervenção.</w:t>
      </w:r>
    </w:p>
    <w:p w14:paraId="71186E23" w14:textId="01EE6EAC" w:rsidR="005521F3" w:rsidRDefault="005521F3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31864B9" w14:textId="77777777" w:rsidR="00C61D94" w:rsidRPr="000E72EE" w:rsidRDefault="00C61D9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B0636A6" w14:textId="7026C455" w:rsidR="00C61D94" w:rsidRDefault="00977264" w:rsidP="00C61D94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Pr="00A03A2E">
        <w:t xml:space="preserve"> </w:t>
      </w:r>
      <w:r w:rsidR="00C61D94">
        <w:t>Fica</w:t>
      </w:r>
      <w:proofErr w:type="gramEnd"/>
      <w:r w:rsidR="00C61D94">
        <w:t xml:space="preserve"> incluído art. 25-A</w:t>
      </w:r>
      <w:r w:rsidR="00270352">
        <w:t xml:space="preserve"> no Título III</w:t>
      </w:r>
      <w:r w:rsidR="00C61D94">
        <w:t xml:space="preserve"> </w:t>
      </w:r>
      <w:r w:rsidR="00270352">
        <w:t>d</w:t>
      </w:r>
      <w:r w:rsidR="00C61D94">
        <w:t>a</w:t>
      </w:r>
      <w:r w:rsidR="00270352">
        <w:t xml:space="preserve"> Parte II da</w:t>
      </w:r>
      <w:r w:rsidR="00C61D94">
        <w:t xml:space="preserve"> Lei Complementar nº 626, de 15 de julho de 2009, e alterações posteriores, conforme segue:</w:t>
      </w:r>
    </w:p>
    <w:p w14:paraId="3D335556" w14:textId="77777777" w:rsidR="00C61D94" w:rsidRDefault="00C61D94" w:rsidP="00C61D94">
      <w:pPr>
        <w:ind w:firstLine="1418"/>
        <w:jc w:val="both"/>
      </w:pPr>
    </w:p>
    <w:p w14:paraId="755D88CC" w14:textId="2C81FC7C" w:rsidR="00C61D94" w:rsidRDefault="00C61D94" w:rsidP="00C61D94">
      <w:pPr>
        <w:ind w:firstLine="1418"/>
        <w:jc w:val="both"/>
      </w:pPr>
      <w:r>
        <w:t xml:space="preserve">“Art. 25-A.  Fica a implementação de ciclovias e ciclofaixas, nos termos desta Lei Complementar, condicionada à consulta e </w:t>
      </w:r>
      <w:r w:rsidR="00172D4E">
        <w:t xml:space="preserve">à </w:t>
      </w:r>
      <w:r>
        <w:t xml:space="preserve">aprovação prévia dos </w:t>
      </w:r>
      <w:r w:rsidR="00241C54">
        <w:t xml:space="preserve">empresários e </w:t>
      </w:r>
      <w:r>
        <w:t>moradores da via que será objeto de intervenção.</w:t>
      </w:r>
    </w:p>
    <w:p w14:paraId="20560208" w14:textId="77777777" w:rsidR="00C61D94" w:rsidRDefault="00C61D94" w:rsidP="00C61D94">
      <w:pPr>
        <w:ind w:firstLine="1418"/>
        <w:jc w:val="both"/>
      </w:pPr>
    </w:p>
    <w:p w14:paraId="1E98B391" w14:textId="0D78C319" w:rsidR="00C61D94" w:rsidRDefault="00C61D94" w:rsidP="00C61D94">
      <w:pPr>
        <w:ind w:firstLine="1418"/>
        <w:jc w:val="both"/>
      </w:pPr>
      <w:r>
        <w:t>§ 1</w:t>
      </w:r>
      <w:proofErr w:type="gramStart"/>
      <w:r>
        <w:t>º  A</w:t>
      </w:r>
      <w:proofErr w:type="gramEnd"/>
      <w:r>
        <w:t xml:space="preserve"> intervenção deve ser aprovada pela maioria dos </w:t>
      </w:r>
      <w:r w:rsidR="00241C54">
        <w:t>empresários</w:t>
      </w:r>
      <w:r w:rsidR="00241C54">
        <w:t xml:space="preserve"> </w:t>
      </w:r>
      <w:r>
        <w:t xml:space="preserve">e </w:t>
      </w:r>
      <w:r w:rsidR="00241C54">
        <w:t xml:space="preserve">moradores </w:t>
      </w:r>
      <w:r>
        <w:t>da via, observada a manifestação de</w:t>
      </w:r>
      <w:r w:rsidR="00270352">
        <w:t>,</w:t>
      </w:r>
      <w:r>
        <w:t xml:space="preserve"> no mínimo</w:t>
      </w:r>
      <w:r w:rsidR="00270352">
        <w:t>,</w:t>
      </w:r>
      <w:r>
        <w:t xml:space="preserve"> 50% (cinquenta por cento) do seu total, sob pena de nulidade da consulta realizada.</w:t>
      </w:r>
    </w:p>
    <w:p w14:paraId="632D802A" w14:textId="77777777" w:rsidR="00C61D94" w:rsidRDefault="00C61D94" w:rsidP="00C61D94">
      <w:pPr>
        <w:ind w:firstLine="1418"/>
        <w:jc w:val="both"/>
      </w:pPr>
    </w:p>
    <w:p w14:paraId="031DFA54" w14:textId="0ECF8DEA" w:rsidR="00EC158B" w:rsidRDefault="00C61D94" w:rsidP="00C61D94">
      <w:pPr>
        <w:ind w:firstLine="1418"/>
        <w:jc w:val="both"/>
      </w:pPr>
      <w:r>
        <w:t>§ 2</w:t>
      </w:r>
      <w:proofErr w:type="gramStart"/>
      <w:r>
        <w:t>º  A</w:t>
      </w:r>
      <w:proofErr w:type="gramEnd"/>
      <w:r>
        <w:t xml:space="preserve"> consulta referida no </w:t>
      </w:r>
      <w:r w:rsidRPr="00876113">
        <w:rPr>
          <w:i/>
        </w:rPr>
        <w:t>caput</w:t>
      </w:r>
      <w:r w:rsidR="00270352">
        <w:t xml:space="preserve"> deste artigo</w:t>
      </w:r>
      <w:r>
        <w:t xml:space="preserve"> deve ser precedida de ampla divulgação e da exposição do projeto a ser executado.”</w:t>
      </w:r>
    </w:p>
    <w:p w14:paraId="22C4CAE3" w14:textId="77777777" w:rsidR="00C61D94" w:rsidRDefault="00C61D94" w:rsidP="00C61D94">
      <w:pPr>
        <w:ind w:firstLine="1418"/>
        <w:jc w:val="both"/>
      </w:pPr>
    </w:p>
    <w:p w14:paraId="1B8666FA" w14:textId="55E19F98" w:rsidR="005818A8" w:rsidRDefault="005521F3" w:rsidP="005521F3">
      <w:pPr>
        <w:ind w:firstLine="1418"/>
        <w:jc w:val="both"/>
      </w:pPr>
      <w:r w:rsidRPr="005521F3">
        <w:rPr>
          <w:b/>
        </w:rPr>
        <w:t>A</w:t>
      </w:r>
      <w:r w:rsidR="00EC158B">
        <w:rPr>
          <w:b/>
        </w:rPr>
        <w:t>rt. 2</w:t>
      </w:r>
      <w:proofErr w:type="gramStart"/>
      <w:r w:rsidRPr="005521F3">
        <w:rPr>
          <w:b/>
        </w:rPr>
        <w:t>º</w:t>
      </w:r>
      <w:r>
        <w:t xml:space="preserve">  Esta</w:t>
      </w:r>
      <w:proofErr w:type="gramEnd"/>
      <w:r>
        <w:t xml:space="preserve"> Lei Complementar entra em vigor na data de sua publicação.</w:t>
      </w: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6131C7D2" w14:textId="4796687B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70330D99" w14:textId="719D9B64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465F526C" w14:textId="51E9E641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15333078" w14:textId="67D731CD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459E66E1" w14:textId="68DDA4AC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1A0339A5" w14:textId="08C73CA5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5E6E4747" w14:textId="77777777" w:rsidR="00D45A70" w:rsidRDefault="00D45A70" w:rsidP="002D47E3">
      <w:pPr>
        <w:autoSpaceDE w:val="0"/>
        <w:autoSpaceDN w:val="0"/>
        <w:adjustRightInd w:val="0"/>
        <w:ind w:firstLine="1418"/>
        <w:jc w:val="both"/>
      </w:pPr>
    </w:p>
    <w:p w14:paraId="7D216126" w14:textId="6C130B6A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64558392" w14:textId="7777777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A12DF17" w14:textId="77777777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50BA" w14:textId="77777777" w:rsidR="007962C8" w:rsidRDefault="007962C8">
      <w:r>
        <w:separator/>
      </w:r>
    </w:p>
  </w:endnote>
  <w:endnote w:type="continuationSeparator" w:id="0">
    <w:p w14:paraId="555140E9" w14:textId="77777777" w:rsidR="007962C8" w:rsidRDefault="0079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1864" w14:textId="77777777" w:rsidR="007962C8" w:rsidRDefault="007962C8">
      <w:r>
        <w:separator/>
      </w:r>
    </w:p>
  </w:footnote>
  <w:footnote w:type="continuationSeparator" w:id="0">
    <w:p w14:paraId="71C1F548" w14:textId="77777777" w:rsidR="007962C8" w:rsidRDefault="0079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6A26441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C36A1B">
      <w:rPr>
        <w:b/>
        <w:bCs/>
      </w:rPr>
      <w:t>0064</w:t>
    </w:r>
    <w:r w:rsidR="00CB1360">
      <w:rPr>
        <w:b/>
        <w:bCs/>
      </w:rPr>
      <w:t>/2</w:t>
    </w:r>
    <w:r w:rsidR="00EC158B">
      <w:rPr>
        <w:b/>
        <w:bCs/>
      </w:rPr>
      <w:t>2</w:t>
    </w:r>
  </w:p>
  <w:p w14:paraId="122A8F54" w14:textId="59100638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</w:t>
    </w:r>
    <w:r w:rsidR="005521F3">
      <w:rPr>
        <w:b/>
        <w:bCs/>
      </w:rPr>
      <w:t>C</w:t>
    </w:r>
    <w:r w:rsidRPr="001E1419">
      <w:rPr>
        <w:b/>
        <w:bCs/>
      </w:rPr>
      <w:t>L</w:t>
    </w:r>
    <w:r w:rsidR="005521F3">
      <w:rPr>
        <w:b/>
        <w:bCs/>
      </w:rPr>
      <w:t xml:space="preserve"> </w:t>
    </w:r>
    <w:r w:rsidR="00B1474D">
      <w:rPr>
        <w:b/>
        <w:bCs/>
      </w:rPr>
      <w:t xml:space="preserve">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C36A1B">
      <w:rPr>
        <w:b/>
        <w:bCs/>
      </w:rPr>
      <w:t>003</w:t>
    </w:r>
    <w:r w:rsidR="00244AC2">
      <w:rPr>
        <w:b/>
        <w:bCs/>
      </w:rPr>
      <w:t>/</w:t>
    </w:r>
    <w:r w:rsidR="00CB1360">
      <w:rPr>
        <w:b/>
        <w:bCs/>
      </w:rPr>
      <w:t>2</w:t>
    </w:r>
    <w:r w:rsidR="00EC158B">
      <w:rPr>
        <w:b/>
        <w:bCs/>
      </w:rPr>
      <w:t>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3D1C"/>
    <w:rsid w:val="00056574"/>
    <w:rsid w:val="00057337"/>
    <w:rsid w:val="00061C24"/>
    <w:rsid w:val="00061D5E"/>
    <w:rsid w:val="00064A3F"/>
    <w:rsid w:val="00067BEE"/>
    <w:rsid w:val="00072902"/>
    <w:rsid w:val="000756DE"/>
    <w:rsid w:val="000765E6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1ECF"/>
    <w:rsid w:val="00143BFC"/>
    <w:rsid w:val="001446CB"/>
    <w:rsid w:val="00146756"/>
    <w:rsid w:val="00154940"/>
    <w:rsid w:val="00157EC5"/>
    <w:rsid w:val="00162196"/>
    <w:rsid w:val="00162FB4"/>
    <w:rsid w:val="00163F93"/>
    <w:rsid w:val="00165012"/>
    <w:rsid w:val="00165C34"/>
    <w:rsid w:val="001673FD"/>
    <w:rsid w:val="00172D4E"/>
    <w:rsid w:val="001730A8"/>
    <w:rsid w:val="00173B73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C574C"/>
    <w:rsid w:val="001D1C3E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2C8B"/>
    <w:rsid w:val="0022631F"/>
    <w:rsid w:val="00226BB0"/>
    <w:rsid w:val="00226F24"/>
    <w:rsid w:val="00227E46"/>
    <w:rsid w:val="00231B06"/>
    <w:rsid w:val="00235EA4"/>
    <w:rsid w:val="002401B2"/>
    <w:rsid w:val="00241C54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0352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241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5CD0"/>
    <w:rsid w:val="002B6986"/>
    <w:rsid w:val="002B7B38"/>
    <w:rsid w:val="002C1B82"/>
    <w:rsid w:val="002C66FD"/>
    <w:rsid w:val="002C7B7F"/>
    <w:rsid w:val="002D037C"/>
    <w:rsid w:val="002D084A"/>
    <w:rsid w:val="002D12DF"/>
    <w:rsid w:val="002D3535"/>
    <w:rsid w:val="002D47E3"/>
    <w:rsid w:val="002E00C2"/>
    <w:rsid w:val="002E170E"/>
    <w:rsid w:val="002E4965"/>
    <w:rsid w:val="002E7767"/>
    <w:rsid w:val="002F3A5E"/>
    <w:rsid w:val="003030A1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28BF"/>
    <w:rsid w:val="003C3910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0DA6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24AC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15BE7"/>
    <w:rsid w:val="00521180"/>
    <w:rsid w:val="00525269"/>
    <w:rsid w:val="00526510"/>
    <w:rsid w:val="005266CE"/>
    <w:rsid w:val="005271B7"/>
    <w:rsid w:val="00532255"/>
    <w:rsid w:val="0053664C"/>
    <w:rsid w:val="00537F05"/>
    <w:rsid w:val="00540154"/>
    <w:rsid w:val="00541332"/>
    <w:rsid w:val="005508F4"/>
    <w:rsid w:val="005521F3"/>
    <w:rsid w:val="00554F4A"/>
    <w:rsid w:val="00555551"/>
    <w:rsid w:val="00555B53"/>
    <w:rsid w:val="00556572"/>
    <w:rsid w:val="00557D93"/>
    <w:rsid w:val="00561E11"/>
    <w:rsid w:val="00566A9E"/>
    <w:rsid w:val="00571B51"/>
    <w:rsid w:val="005760A2"/>
    <w:rsid w:val="00577BF2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251D"/>
    <w:rsid w:val="005D3504"/>
    <w:rsid w:val="005D7EEA"/>
    <w:rsid w:val="005E0AFC"/>
    <w:rsid w:val="005E435B"/>
    <w:rsid w:val="005E7F58"/>
    <w:rsid w:val="005F574A"/>
    <w:rsid w:val="005F6B3C"/>
    <w:rsid w:val="00600D5D"/>
    <w:rsid w:val="00603BC1"/>
    <w:rsid w:val="00605267"/>
    <w:rsid w:val="006057D2"/>
    <w:rsid w:val="00610720"/>
    <w:rsid w:val="0061151B"/>
    <w:rsid w:val="00613489"/>
    <w:rsid w:val="00616647"/>
    <w:rsid w:val="00617936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465F2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461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3635"/>
    <w:rsid w:val="006F5903"/>
    <w:rsid w:val="006F7390"/>
    <w:rsid w:val="0070028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4039"/>
    <w:rsid w:val="00744428"/>
    <w:rsid w:val="007520F1"/>
    <w:rsid w:val="00753119"/>
    <w:rsid w:val="00762BC2"/>
    <w:rsid w:val="00762DFA"/>
    <w:rsid w:val="007664FB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2C8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44F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54EC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6113"/>
    <w:rsid w:val="00877AB2"/>
    <w:rsid w:val="00877C8F"/>
    <w:rsid w:val="00881A01"/>
    <w:rsid w:val="00882780"/>
    <w:rsid w:val="008828C4"/>
    <w:rsid w:val="008846FD"/>
    <w:rsid w:val="00885014"/>
    <w:rsid w:val="00886070"/>
    <w:rsid w:val="0088611F"/>
    <w:rsid w:val="00892918"/>
    <w:rsid w:val="00893DE4"/>
    <w:rsid w:val="00896358"/>
    <w:rsid w:val="008A47D2"/>
    <w:rsid w:val="008A6407"/>
    <w:rsid w:val="008A6774"/>
    <w:rsid w:val="008A6AEC"/>
    <w:rsid w:val="008B2621"/>
    <w:rsid w:val="008B27CD"/>
    <w:rsid w:val="008B44CF"/>
    <w:rsid w:val="008B523D"/>
    <w:rsid w:val="008B5A7C"/>
    <w:rsid w:val="008B7881"/>
    <w:rsid w:val="008B7D07"/>
    <w:rsid w:val="008C0DC4"/>
    <w:rsid w:val="008C0E10"/>
    <w:rsid w:val="008C2DB2"/>
    <w:rsid w:val="008C2F24"/>
    <w:rsid w:val="008C3BB6"/>
    <w:rsid w:val="008C66FA"/>
    <w:rsid w:val="008D3853"/>
    <w:rsid w:val="008D5F66"/>
    <w:rsid w:val="008E1237"/>
    <w:rsid w:val="008E6070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183"/>
    <w:rsid w:val="00924321"/>
    <w:rsid w:val="00925DA9"/>
    <w:rsid w:val="0093125C"/>
    <w:rsid w:val="009438A7"/>
    <w:rsid w:val="00943F61"/>
    <w:rsid w:val="00945AB2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E1694"/>
    <w:rsid w:val="009F34C7"/>
    <w:rsid w:val="009F56EA"/>
    <w:rsid w:val="009F6C1C"/>
    <w:rsid w:val="00A2123A"/>
    <w:rsid w:val="00A2349E"/>
    <w:rsid w:val="00A253F7"/>
    <w:rsid w:val="00A32A43"/>
    <w:rsid w:val="00A35244"/>
    <w:rsid w:val="00A3682B"/>
    <w:rsid w:val="00A36CD2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424C"/>
    <w:rsid w:val="00B26891"/>
    <w:rsid w:val="00B351FA"/>
    <w:rsid w:val="00B376DC"/>
    <w:rsid w:val="00B376FC"/>
    <w:rsid w:val="00B4214A"/>
    <w:rsid w:val="00B42E67"/>
    <w:rsid w:val="00B4513B"/>
    <w:rsid w:val="00B4572D"/>
    <w:rsid w:val="00B52537"/>
    <w:rsid w:val="00B5357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2650"/>
    <w:rsid w:val="00BA5F4A"/>
    <w:rsid w:val="00BA793E"/>
    <w:rsid w:val="00BA7942"/>
    <w:rsid w:val="00BA7D24"/>
    <w:rsid w:val="00BB3A9F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1C78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36A1B"/>
    <w:rsid w:val="00C450DB"/>
    <w:rsid w:val="00C50561"/>
    <w:rsid w:val="00C566CF"/>
    <w:rsid w:val="00C61D94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0D9C"/>
    <w:rsid w:val="00CA2DBF"/>
    <w:rsid w:val="00CA3DDD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87"/>
    <w:rsid w:val="00CE59B4"/>
    <w:rsid w:val="00CF4234"/>
    <w:rsid w:val="00D00992"/>
    <w:rsid w:val="00D072B6"/>
    <w:rsid w:val="00D12511"/>
    <w:rsid w:val="00D13747"/>
    <w:rsid w:val="00D13C57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45A70"/>
    <w:rsid w:val="00D45DC0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2FE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2B76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733EA"/>
    <w:rsid w:val="00E734A1"/>
    <w:rsid w:val="00E84A50"/>
    <w:rsid w:val="00E92851"/>
    <w:rsid w:val="00E9516D"/>
    <w:rsid w:val="00E96346"/>
    <w:rsid w:val="00EA1192"/>
    <w:rsid w:val="00EA4E63"/>
    <w:rsid w:val="00EA75E4"/>
    <w:rsid w:val="00EA7EA7"/>
    <w:rsid w:val="00EB183A"/>
    <w:rsid w:val="00EB1B4E"/>
    <w:rsid w:val="00EB257F"/>
    <w:rsid w:val="00EB6791"/>
    <w:rsid w:val="00EB6F5E"/>
    <w:rsid w:val="00EB709A"/>
    <w:rsid w:val="00EB7845"/>
    <w:rsid w:val="00EB7E90"/>
    <w:rsid w:val="00EC158B"/>
    <w:rsid w:val="00EC6AC2"/>
    <w:rsid w:val="00ED4317"/>
    <w:rsid w:val="00ED447B"/>
    <w:rsid w:val="00ED5A81"/>
    <w:rsid w:val="00ED7A9A"/>
    <w:rsid w:val="00EE7961"/>
    <w:rsid w:val="00EF0643"/>
    <w:rsid w:val="00EF064F"/>
    <w:rsid w:val="00EF31E4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AC"/>
    <w:rsid w:val="00F44484"/>
    <w:rsid w:val="00F46386"/>
    <w:rsid w:val="00F474EE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0102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BF96-DC08-4314-9744-47D861D7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117</TotalTime>
  <Pages>2</Pages>
  <Words>471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14</cp:revision>
  <cp:lastPrinted>2016-03-17T12:17:00Z</cp:lastPrinted>
  <dcterms:created xsi:type="dcterms:W3CDTF">2022-05-12T19:08:00Z</dcterms:created>
  <dcterms:modified xsi:type="dcterms:W3CDTF">2022-05-19T18:46:00Z</dcterms:modified>
</cp:coreProperties>
</file>