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7F5E6B" w:rsidRDefault="00847E49" w:rsidP="00BE065D">
      <w:pPr>
        <w:jc w:val="center"/>
      </w:pPr>
      <w:r w:rsidRPr="007F5E6B">
        <w:t>EXPOSIÇÃO DE MOTIVOS</w:t>
      </w:r>
    </w:p>
    <w:p w14:paraId="123C410A" w14:textId="77777777" w:rsidR="00BE065D" w:rsidRPr="007F5E6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7F5E6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1EC0321" w14:textId="77777777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O conceito, retirado do Referencial Básico de Governança Aplicável a Órgãos e Entidades da Administração Pública, do Tribunal de Contas da União (TCU, 2014), fixa alguns dos mecanismos considerados importantes para o sucesso de uma política de governança e reforça a importância da construção e da coordenação de políticas focadas no cidadão.</w:t>
      </w:r>
    </w:p>
    <w:p w14:paraId="7640CDC5" w14:textId="057457F9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Embora não tenha maiores implicações jurídicas para a condução da política de governança, o conceito orientou a estruturação do presente Projeto de Lei</w:t>
      </w:r>
      <w:r w:rsidR="00D23336">
        <w:rPr>
          <w:rFonts w:eastAsia="Calibri"/>
          <w:lang w:eastAsia="en-US"/>
        </w:rPr>
        <w:t>,</w:t>
      </w:r>
      <w:r w:rsidRPr="007F5E6B">
        <w:rPr>
          <w:rFonts w:eastAsia="Calibri"/>
          <w:lang w:eastAsia="en-US"/>
        </w:rPr>
        <w:t xml:space="preserve"> que serve como ponto de partida para a formação de um consenso mínimo acerca do que é governança – com a indicação de um conjunto inicial de referências de boas práticas e a delimitação de um objetivo.</w:t>
      </w:r>
    </w:p>
    <w:p w14:paraId="2F22F508" w14:textId="7323A30B" w:rsidR="007F5E6B" w:rsidRPr="007F5E6B" w:rsidRDefault="00BF11DA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Em </w:t>
      </w:r>
      <w:r w:rsidR="007F5E6B" w:rsidRPr="007F5E6B">
        <w:rPr>
          <w:rFonts w:eastAsia="Calibri"/>
          <w:lang w:eastAsia="en-US"/>
        </w:rPr>
        <w:t>um breve histórico</w:t>
      </w:r>
      <w:r w:rsidR="00D23336">
        <w:rPr>
          <w:rFonts w:eastAsia="Calibri"/>
          <w:lang w:eastAsia="en-US"/>
        </w:rPr>
        <w:t>,</w:t>
      </w:r>
      <w:r w:rsidR="007F5E6B" w:rsidRPr="007F5E6B">
        <w:rPr>
          <w:rFonts w:eastAsia="Calibri"/>
          <w:lang w:eastAsia="en-US"/>
        </w:rPr>
        <w:t xml:space="preserve"> a proposta de criação da política de governança se originou da cooperação dos órgãos centrais de governo com o Tribunal de Contas da União</w:t>
      </w:r>
      <w:r w:rsidR="00266569">
        <w:rPr>
          <w:rFonts w:eastAsia="Calibri"/>
          <w:lang w:eastAsia="en-US"/>
        </w:rPr>
        <w:t xml:space="preserve"> (TCU)</w:t>
      </w:r>
      <w:r w:rsidR="007F5E6B" w:rsidRPr="007F5E6B">
        <w:rPr>
          <w:rFonts w:eastAsia="Calibri"/>
          <w:lang w:eastAsia="en-US"/>
        </w:rPr>
        <w:t xml:space="preserve">. Para o </w:t>
      </w:r>
      <w:r w:rsidR="00266569">
        <w:rPr>
          <w:rFonts w:eastAsia="Calibri"/>
          <w:lang w:eastAsia="en-US"/>
        </w:rPr>
        <w:t>TCU</w:t>
      </w:r>
      <w:r w:rsidR="007F5E6B" w:rsidRPr="007F5E6B">
        <w:rPr>
          <w:rFonts w:eastAsia="Calibri"/>
          <w:lang w:eastAsia="en-US"/>
        </w:rPr>
        <w:t xml:space="preserve">, era necessário editar um ato normativo que estabelecesse boas práticas de governança voltadas para a melhoria do desempenho de órgãos e entidades da administração pública federal direta e indireta, bem como dos demais </w:t>
      </w:r>
      <w:r w:rsidR="00266569">
        <w:rPr>
          <w:rFonts w:eastAsia="Calibri"/>
          <w:lang w:eastAsia="en-US"/>
        </w:rPr>
        <w:t>p</w:t>
      </w:r>
      <w:r w:rsidR="007F5E6B" w:rsidRPr="007F5E6B">
        <w:rPr>
          <w:rFonts w:eastAsia="Calibri"/>
          <w:lang w:eastAsia="en-US"/>
        </w:rPr>
        <w:t>oderes na esfera federal, a partir de três linhas centrais: liderança, estratégia e controle.</w:t>
      </w:r>
    </w:p>
    <w:p w14:paraId="6B1EEE20" w14:textId="77777777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A ideia de concretizar uma política de governança em nível municipal surgiu da percepção de que era necessária uma condução integrada e coerente das diversas iniciativas setoriais isoladas de aprimoramento da governança. Para dar sustentação e unidade à política, foram utilizadas recomendações da literatura especializada e de organizações internacionais, notadamente da Organização para Cooperação e Desenvolvimento Econômico (OCDE), que sintetizam as melhores práticas de governança.</w:t>
      </w:r>
    </w:p>
    <w:p w14:paraId="1CA220A3" w14:textId="3932E39B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Levou-se em conta para proposição deste Projeto de Lei a missão de estabelecer um conjunto de boas práticas de governança que subsidiarão e direcionarão a administração pública para atingir o princípio constitucional da eficiência que imputa a exigência, portanto, de ser alcançada a solução que seja ótima ao atendimento da finalidade pública, seja no espaço de decisão vinculada expressamente à lei, seja no espaço de decisão discricionária. Nesse sentido, parte-se do exemplo da administração p</w:t>
      </w:r>
      <w:r w:rsidR="008945BF">
        <w:rPr>
          <w:rFonts w:eastAsia="Calibri"/>
          <w:lang w:eastAsia="en-US"/>
        </w:rPr>
        <w:t>ú</w:t>
      </w:r>
      <w:r w:rsidRPr="007F5E6B">
        <w:rPr>
          <w:rFonts w:eastAsia="Calibri"/>
          <w:lang w:eastAsia="en-US"/>
        </w:rPr>
        <w:t>blica federal que editou o Decreto nº 9.203, de 2017, e o Projeto de Lei nº 9.163, de 2017.</w:t>
      </w:r>
    </w:p>
    <w:p w14:paraId="12CACCFB" w14:textId="70528440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Desta forma, pretende-se colaborar com o Executivo</w:t>
      </w:r>
      <w:r w:rsidR="00266569">
        <w:rPr>
          <w:rFonts w:eastAsia="Calibri"/>
          <w:lang w:eastAsia="en-US"/>
        </w:rPr>
        <w:t xml:space="preserve"> Municipal</w:t>
      </w:r>
      <w:r w:rsidRPr="007F5E6B">
        <w:rPr>
          <w:rFonts w:eastAsia="Calibri"/>
          <w:lang w:eastAsia="en-US"/>
        </w:rPr>
        <w:t xml:space="preserve"> no sentido de propor diretrizes claras para o atingimento da governança em nível municipal. O objetivo deste Projeto de Lei é que as instituições municipais, por meio de suas ações, construam um modelo mais adequado de governança pública – o que aproxima a política de uma estratégia de governança (CAPANO, G.; HOWLETT, M.; RAMESH, M., 2014).  </w:t>
      </w:r>
    </w:p>
    <w:p w14:paraId="092682C4" w14:textId="77777777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O Banco Mundial, em seu Relatório de Desenvolvimento Mundial 2017: Governança e a Lei, descreve governança como sendo um “processo por meio do qual atores estatais e não-estatais interagem para formular e implementar políticas dentro de um conjunto predefinido de regras formais e informais que moldam e são moldadas pelo poder” (Banco Mundial, 2017).</w:t>
      </w:r>
    </w:p>
    <w:p w14:paraId="25735AEB" w14:textId="77777777" w:rsidR="007F5E6B" w:rsidRPr="007F5E6B" w:rsidRDefault="007F5E6B" w:rsidP="007F5E6B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Portanto, ter um conjunto predefinido de regras formais que favoreça a formulação e a implementação de políticas e serviços públicos que de fato atenderão às necessidades da sociedade é estabelecer uma boa governança – ou, dito de outra forma, implementar boas práticas de governança. É, como já demonstrado, o que se pretendeu com a criação da política de governança.</w:t>
      </w:r>
    </w:p>
    <w:p w14:paraId="5C839B0F" w14:textId="77777777" w:rsidR="007F5E6B" w:rsidRPr="007F5E6B" w:rsidRDefault="007F5E6B" w:rsidP="007F5E6B">
      <w:pPr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>Dessa maneira, a identificação das necessidades prioritárias da sociedade, o estabelecimento de objetivos institucionais e a elaboração de estratégias para atingir essas metas adentram no campo epistemológico da governança pública.</w:t>
      </w:r>
    </w:p>
    <w:p w14:paraId="2D58FF9D" w14:textId="7CF8E9BC" w:rsidR="00C53A49" w:rsidRPr="007F5E6B" w:rsidRDefault="007F5E6B" w:rsidP="007F5E6B">
      <w:pPr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lastRenderedPageBreak/>
        <w:t>Ante ao exposto, apresento a meus pares este tema tão atual e desafiador para que juntos possamos construir uma estrutura normativa que estabeleça uma política pública municipal voltada a governança através das boas práticas administrativas para o atingimento de uma melhor prestação do serviço público eficiente à sociedade</w:t>
      </w:r>
      <w:r w:rsidR="00C53A49" w:rsidRPr="007F5E6B">
        <w:rPr>
          <w:rFonts w:eastAsia="Calibri"/>
          <w:lang w:eastAsia="en-US"/>
        </w:rPr>
        <w:t>.</w:t>
      </w:r>
    </w:p>
    <w:p w14:paraId="7BAD9AA4" w14:textId="77777777" w:rsidR="007F5E6B" w:rsidRPr="007F5E6B" w:rsidRDefault="007F5E6B" w:rsidP="007F5E6B">
      <w:pPr>
        <w:ind w:firstLine="1418"/>
        <w:jc w:val="both"/>
        <w:rPr>
          <w:rFonts w:eastAsia="Calibri"/>
          <w:lang w:eastAsia="en-US"/>
        </w:rPr>
      </w:pPr>
    </w:p>
    <w:p w14:paraId="0D351CEB" w14:textId="627223F7" w:rsidR="00504671" w:rsidRPr="007F5E6B" w:rsidRDefault="00504671" w:rsidP="00C53A49">
      <w:pPr>
        <w:ind w:firstLine="1418"/>
        <w:jc w:val="both"/>
        <w:rPr>
          <w:rFonts w:eastAsia="Calibri"/>
          <w:lang w:eastAsia="en-US"/>
        </w:rPr>
      </w:pPr>
      <w:r w:rsidRPr="007F5E6B">
        <w:rPr>
          <w:rFonts w:eastAsia="Calibri"/>
          <w:lang w:eastAsia="en-US"/>
        </w:rPr>
        <w:t xml:space="preserve">Sala </w:t>
      </w:r>
      <w:r w:rsidR="00727CF8" w:rsidRPr="007F5E6B">
        <w:rPr>
          <w:rFonts w:eastAsia="Calibri"/>
          <w:lang w:eastAsia="en-US"/>
        </w:rPr>
        <w:t>das Sessões</w:t>
      </w:r>
      <w:r w:rsidRPr="007F5E6B">
        <w:rPr>
          <w:rFonts w:eastAsia="Calibri"/>
          <w:lang w:eastAsia="en-US"/>
        </w:rPr>
        <w:t xml:space="preserve">, </w:t>
      </w:r>
      <w:r w:rsidR="00C53A49" w:rsidRPr="007F5E6B">
        <w:rPr>
          <w:rFonts w:eastAsia="Calibri"/>
          <w:lang w:eastAsia="en-US"/>
        </w:rPr>
        <w:t>23</w:t>
      </w:r>
      <w:r w:rsidR="00727CF8" w:rsidRPr="007F5E6B">
        <w:rPr>
          <w:rFonts w:eastAsia="Calibri"/>
          <w:lang w:eastAsia="en-US"/>
        </w:rPr>
        <w:t xml:space="preserve"> de </w:t>
      </w:r>
      <w:r w:rsidR="00184341" w:rsidRPr="007F5E6B">
        <w:rPr>
          <w:rFonts w:eastAsia="Calibri"/>
          <w:lang w:eastAsia="en-US"/>
        </w:rPr>
        <w:t xml:space="preserve">março </w:t>
      </w:r>
      <w:r w:rsidRPr="007F5E6B">
        <w:rPr>
          <w:rFonts w:eastAsia="Calibri"/>
          <w:lang w:eastAsia="en-US"/>
        </w:rPr>
        <w:t xml:space="preserve">de </w:t>
      </w:r>
      <w:r w:rsidR="00ED4CC9" w:rsidRPr="007F5E6B">
        <w:rPr>
          <w:rFonts w:eastAsia="Calibri"/>
          <w:lang w:eastAsia="en-US"/>
        </w:rPr>
        <w:t>202</w:t>
      </w:r>
      <w:r w:rsidR="005858D6" w:rsidRPr="007F5E6B">
        <w:rPr>
          <w:rFonts w:eastAsia="Calibri"/>
          <w:lang w:eastAsia="en-US"/>
        </w:rPr>
        <w:t>2</w:t>
      </w:r>
      <w:r w:rsidRPr="007F5E6B">
        <w:rPr>
          <w:rFonts w:eastAsia="Calibri"/>
          <w:lang w:eastAsia="en-US"/>
        </w:rPr>
        <w:t>.</w:t>
      </w:r>
    </w:p>
    <w:p w14:paraId="6E8C2F8A" w14:textId="77777777" w:rsidR="00B67DA6" w:rsidRPr="007F5E6B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7F5E6B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Pr="007F5E6B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Pr="007F5E6B" w:rsidRDefault="00727CF8" w:rsidP="00C03878">
      <w:pPr>
        <w:jc w:val="center"/>
        <w:rPr>
          <w:rFonts w:eastAsia="Calibri"/>
          <w:lang w:eastAsia="en-US"/>
        </w:rPr>
      </w:pPr>
    </w:p>
    <w:p w14:paraId="0A132014" w14:textId="29CD1668" w:rsidR="00184341" w:rsidRPr="007F5E6B" w:rsidRDefault="00727CF8" w:rsidP="00727CF8">
      <w:pPr>
        <w:jc w:val="center"/>
        <w:rPr>
          <w:lang w:eastAsia="ar-SA"/>
        </w:rPr>
      </w:pPr>
      <w:r w:rsidRPr="007F5E6B">
        <w:rPr>
          <w:lang w:eastAsia="ar-SA"/>
        </w:rPr>
        <w:t xml:space="preserve">VEREADOR </w:t>
      </w:r>
      <w:r w:rsidR="00C53A49" w:rsidRPr="007F5E6B">
        <w:rPr>
          <w:lang w:eastAsia="ar-SA"/>
        </w:rPr>
        <w:t>MOISÉS BARBOZA</w:t>
      </w:r>
    </w:p>
    <w:p w14:paraId="59EFBE3D" w14:textId="77777777" w:rsidR="00184341" w:rsidRPr="007F5E6B" w:rsidRDefault="00184341">
      <w:pPr>
        <w:rPr>
          <w:lang w:eastAsia="ar-SA"/>
        </w:rPr>
      </w:pPr>
      <w:r w:rsidRPr="007F5E6B">
        <w:rPr>
          <w:lang w:eastAsia="ar-SA"/>
        </w:rPr>
        <w:br w:type="page"/>
      </w:r>
    </w:p>
    <w:p w14:paraId="41ACD47C" w14:textId="2909FFBC" w:rsidR="00847E49" w:rsidRPr="007F5E6B" w:rsidRDefault="00D47FD5" w:rsidP="00E262FD">
      <w:pPr>
        <w:jc w:val="center"/>
        <w:rPr>
          <w:b/>
          <w:bCs/>
        </w:rPr>
      </w:pPr>
      <w:r w:rsidRPr="007F5E6B">
        <w:rPr>
          <w:b/>
          <w:bCs/>
        </w:rPr>
        <w:lastRenderedPageBreak/>
        <w:t>PROJETO DE LEI</w:t>
      </w:r>
    </w:p>
    <w:p w14:paraId="1E60791B" w14:textId="78884FCF" w:rsidR="00847E49" w:rsidRPr="007F5E6B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7F5E6B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7F5E6B" w:rsidRDefault="0046365B" w:rsidP="00C03878">
      <w:pPr>
        <w:pStyle w:val="Default"/>
        <w:jc w:val="center"/>
        <w:rPr>
          <w:bCs/>
        </w:rPr>
      </w:pPr>
    </w:p>
    <w:p w14:paraId="32C5E67F" w14:textId="49D0B269" w:rsidR="00184341" w:rsidRPr="007F5E6B" w:rsidRDefault="00AA1D84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Estabelece disposições</w:t>
      </w:r>
      <w:r w:rsidRPr="007F5E6B">
        <w:rPr>
          <w:b/>
          <w:bCs/>
        </w:rPr>
        <w:t xml:space="preserve"> </w:t>
      </w:r>
      <w:r w:rsidR="007F5E6B" w:rsidRPr="007F5E6B">
        <w:rPr>
          <w:b/>
          <w:bCs/>
        </w:rPr>
        <w:t xml:space="preserve">sobre a política de governança da </w:t>
      </w:r>
      <w:r w:rsidR="00BE4ED6">
        <w:rPr>
          <w:b/>
          <w:bCs/>
        </w:rPr>
        <w:t>A</w:t>
      </w:r>
      <w:r w:rsidR="007F5E6B" w:rsidRPr="007F5E6B">
        <w:rPr>
          <w:b/>
          <w:bCs/>
        </w:rPr>
        <w:t xml:space="preserve">dministração </w:t>
      </w:r>
      <w:r w:rsidR="00BE4ED6">
        <w:rPr>
          <w:b/>
          <w:bCs/>
        </w:rPr>
        <w:t>D</w:t>
      </w:r>
      <w:r w:rsidR="007F5E6B" w:rsidRPr="007F5E6B">
        <w:rPr>
          <w:b/>
          <w:bCs/>
        </w:rPr>
        <w:t xml:space="preserve">ireta e </w:t>
      </w:r>
      <w:r w:rsidR="00BE4ED6">
        <w:rPr>
          <w:b/>
          <w:bCs/>
        </w:rPr>
        <w:t>I</w:t>
      </w:r>
      <w:r w:rsidR="007F5E6B" w:rsidRPr="007F5E6B">
        <w:rPr>
          <w:b/>
          <w:bCs/>
        </w:rPr>
        <w:t xml:space="preserve">ndireta do </w:t>
      </w:r>
      <w:r w:rsidR="00BE4ED6">
        <w:rPr>
          <w:b/>
          <w:bCs/>
        </w:rPr>
        <w:t>M</w:t>
      </w:r>
      <w:r w:rsidR="007F5E6B" w:rsidRPr="007F5E6B">
        <w:rPr>
          <w:b/>
          <w:bCs/>
        </w:rPr>
        <w:t>unicípio de Porto Alegre.</w:t>
      </w:r>
    </w:p>
    <w:p w14:paraId="3B390666" w14:textId="6D28755E" w:rsidR="00E262FD" w:rsidRPr="007F5E6B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Pr="007F5E6B" w:rsidRDefault="00707C21" w:rsidP="00707C21">
      <w:pPr>
        <w:autoSpaceDE w:val="0"/>
        <w:autoSpaceDN w:val="0"/>
        <w:adjustRightInd w:val="0"/>
        <w:jc w:val="center"/>
      </w:pPr>
    </w:p>
    <w:p w14:paraId="4E101EB3" w14:textId="7C492C80" w:rsidR="007F5E6B" w:rsidRPr="00164FB6" w:rsidRDefault="00C53A49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1º</w:t>
      </w:r>
      <w:r w:rsidRPr="00164FB6">
        <w:rPr>
          <w:spacing w:val="-2"/>
        </w:rPr>
        <w:t xml:space="preserve">  </w:t>
      </w:r>
      <w:r w:rsidR="00AA1D84">
        <w:rPr>
          <w:spacing w:val="-2"/>
        </w:rPr>
        <w:t>Ficam estabelecidas disposições</w:t>
      </w:r>
      <w:r w:rsidR="007F5E6B" w:rsidRPr="00164FB6">
        <w:rPr>
          <w:spacing w:val="-2"/>
        </w:rPr>
        <w:t xml:space="preserve"> sobre a política de governança da </w:t>
      </w:r>
      <w:r w:rsidR="00703B9D" w:rsidRPr="00164FB6">
        <w:rPr>
          <w:spacing w:val="-2"/>
        </w:rPr>
        <w:t xml:space="preserve">Administração Direta e Indireta Do Município </w:t>
      </w:r>
      <w:r w:rsidR="007F5E6B" w:rsidRPr="00164FB6">
        <w:rPr>
          <w:spacing w:val="-2"/>
        </w:rPr>
        <w:t>de Porto Alegre.</w:t>
      </w:r>
    </w:p>
    <w:p w14:paraId="61250051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5B76A047" w14:textId="1E3D1892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2º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 xml:space="preserve">Para os </w:t>
      </w:r>
      <w:r w:rsidR="00D23336">
        <w:rPr>
          <w:spacing w:val="-2"/>
        </w:rPr>
        <w:t>fins desta</w:t>
      </w:r>
      <w:r w:rsidRPr="00164FB6">
        <w:rPr>
          <w:spacing w:val="-2"/>
        </w:rPr>
        <w:t xml:space="preserve"> Lei, considera-se:</w:t>
      </w:r>
    </w:p>
    <w:p w14:paraId="3FF9A90C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0EFA92B" w14:textId="5E20BE8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governança pública </w:t>
      </w:r>
      <w:r w:rsidR="008945BF" w:rsidRPr="00164FB6">
        <w:rPr>
          <w:spacing w:val="-2"/>
        </w:rPr>
        <w:t>o</w:t>
      </w:r>
      <w:r w:rsidRPr="00164FB6">
        <w:rPr>
          <w:spacing w:val="-2"/>
        </w:rPr>
        <w:t xml:space="preserve"> conjunto de mecanismos de liderança, estratégia e controle postos em prática para avaliar, direcionar e monitorar a gestão, com vistas à condução de políticas públicas e à prestação de serviços de interesse da sociedade;</w:t>
      </w:r>
    </w:p>
    <w:p w14:paraId="4025F194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539CD9C" w14:textId="3C33508F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valor público </w:t>
      </w:r>
      <w:r w:rsidR="008945BF" w:rsidRPr="00164FB6">
        <w:rPr>
          <w:spacing w:val="-2"/>
        </w:rPr>
        <w:t>os</w:t>
      </w:r>
      <w:r w:rsidRPr="00164FB6">
        <w:rPr>
          <w:spacing w:val="-2"/>
        </w:rPr>
        <w:t xml:space="preserve"> produtos e </w:t>
      </w:r>
      <w:r w:rsidR="00426265" w:rsidRPr="00164FB6">
        <w:rPr>
          <w:spacing w:val="-2"/>
        </w:rPr>
        <w:t xml:space="preserve">os </w:t>
      </w:r>
      <w:r w:rsidRPr="00164FB6">
        <w:rPr>
          <w:spacing w:val="-2"/>
        </w:rPr>
        <w:t>resultados gerados, preservados ou entregues pelas atividades de uma organização que representem respostas efetivas e úteis às necessidades ou às demandas de interesse público e modifiquem aspectos do conjunto da sociedade ou de alguns grupos específicos reconhecidos como destinatários legítimos de bens e serviços públicos;</w:t>
      </w:r>
    </w:p>
    <w:p w14:paraId="59821146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05919E3C" w14:textId="60CB115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alta administração </w:t>
      </w:r>
      <w:r w:rsidR="008945BF" w:rsidRPr="00164FB6">
        <w:rPr>
          <w:spacing w:val="-2"/>
        </w:rPr>
        <w:t>os</w:t>
      </w:r>
      <w:r w:rsidRPr="00164FB6">
        <w:rPr>
          <w:spacing w:val="-2"/>
        </w:rPr>
        <w:t xml:space="preserve"> secretários</w:t>
      </w:r>
      <w:r w:rsidR="00426265" w:rsidRPr="00164FB6">
        <w:rPr>
          <w:spacing w:val="-2"/>
        </w:rPr>
        <w:t xml:space="preserve"> municipais</w:t>
      </w:r>
      <w:r w:rsidRPr="00164FB6">
        <w:rPr>
          <w:spacing w:val="-2"/>
        </w:rPr>
        <w:t xml:space="preserve">, </w:t>
      </w:r>
      <w:r w:rsidR="008945BF" w:rsidRPr="00164FB6">
        <w:rPr>
          <w:spacing w:val="-2"/>
        </w:rPr>
        <w:t xml:space="preserve">os </w:t>
      </w:r>
      <w:r w:rsidRPr="00164FB6">
        <w:rPr>
          <w:spacing w:val="-2"/>
        </w:rPr>
        <w:t xml:space="preserve">presidentes e </w:t>
      </w:r>
      <w:r w:rsidR="008945BF" w:rsidRPr="00164FB6">
        <w:rPr>
          <w:spacing w:val="-2"/>
        </w:rPr>
        <w:t xml:space="preserve">os </w:t>
      </w:r>
      <w:r w:rsidRPr="00164FB6">
        <w:rPr>
          <w:spacing w:val="-2"/>
        </w:rPr>
        <w:t xml:space="preserve">diretores de autarquias e de fundações públicas ou </w:t>
      </w:r>
      <w:r w:rsidR="008945BF" w:rsidRPr="00164FB6">
        <w:rPr>
          <w:spacing w:val="-2"/>
        </w:rPr>
        <w:t xml:space="preserve">as </w:t>
      </w:r>
      <w:r w:rsidRPr="00164FB6">
        <w:rPr>
          <w:spacing w:val="-2"/>
        </w:rPr>
        <w:t>autoridades de hierarquia equivalente; e</w:t>
      </w:r>
    </w:p>
    <w:p w14:paraId="6684189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E701EFE" w14:textId="5CBCF576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gestão de riscos </w:t>
      </w:r>
      <w:r w:rsidR="008945BF" w:rsidRPr="00164FB6">
        <w:rPr>
          <w:spacing w:val="-2"/>
        </w:rPr>
        <w:t>o</w:t>
      </w:r>
      <w:r w:rsidRPr="00164FB6">
        <w:rPr>
          <w:spacing w:val="-2"/>
        </w:rPr>
        <w:t xml:space="preserve"> processo de natureza permanente, estabelecido, direcionado e monitorado pela alta administração, que contempla as atividades de identifica</w:t>
      </w:r>
      <w:r w:rsidR="0067223F" w:rsidRPr="00164FB6">
        <w:rPr>
          <w:spacing w:val="-2"/>
        </w:rPr>
        <w:t>ção</w:t>
      </w:r>
      <w:r w:rsidRPr="00164FB6">
        <w:rPr>
          <w:spacing w:val="-2"/>
        </w:rPr>
        <w:t>, avalia</w:t>
      </w:r>
      <w:r w:rsidR="0067223F" w:rsidRPr="00164FB6">
        <w:rPr>
          <w:spacing w:val="-2"/>
        </w:rPr>
        <w:t>ção</w:t>
      </w:r>
      <w:r w:rsidRPr="00164FB6">
        <w:rPr>
          <w:spacing w:val="-2"/>
        </w:rPr>
        <w:t xml:space="preserve"> e gerencia</w:t>
      </w:r>
      <w:r w:rsidR="0067223F" w:rsidRPr="00164FB6">
        <w:rPr>
          <w:spacing w:val="-2"/>
        </w:rPr>
        <w:t>mento de</w:t>
      </w:r>
      <w:r w:rsidRPr="00164FB6">
        <w:rPr>
          <w:spacing w:val="-2"/>
        </w:rPr>
        <w:t xml:space="preserve"> potenciais eventos que possam afetar a organização, destinado a fornecer segurança razoável quanto à realização de seus objetivos.</w:t>
      </w:r>
    </w:p>
    <w:p w14:paraId="35457F2E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E61BCC7" w14:textId="55736FEC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3º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>São princípios da governança pública:</w:t>
      </w:r>
    </w:p>
    <w:p w14:paraId="61C815D2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6941B93" w14:textId="5821A97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capacidade de resposta;</w:t>
      </w:r>
    </w:p>
    <w:p w14:paraId="3FDED20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AF2A4DA" w14:textId="1E6F7F9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integridade;</w:t>
      </w:r>
    </w:p>
    <w:p w14:paraId="3BED513D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9AB1FDA" w14:textId="367EAEA1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confiabilidade;</w:t>
      </w:r>
    </w:p>
    <w:p w14:paraId="688EDD45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4F1D453" w14:textId="34FE2A1C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melhoria regulatória;</w:t>
      </w:r>
    </w:p>
    <w:p w14:paraId="5D185103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C6B3DCF" w14:textId="15A242ED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prestação de contas e responsabilidade; e</w:t>
      </w:r>
    </w:p>
    <w:p w14:paraId="682837F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92EF6E0" w14:textId="0CEE2DE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transparência.</w:t>
      </w:r>
    </w:p>
    <w:p w14:paraId="6CE746DE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9C1F6EC" w14:textId="4899839B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4º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>São diretrizes da governança pública:</w:t>
      </w:r>
    </w:p>
    <w:p w14:paraId="53AE6310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12A85D7" w14:textId="2863CC6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lastRenderedPageBreak/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direcionar ações para a busca de resultados para a sociedade, encontrando soluções tempestivas e inovadoras para lidar com a limitação de recursos e com as mudanças de prioridades;</w:t>
      </w:r>
    </w:p>
    <w:p w14:paraId="02C1B9B5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75D553C" w14:textId="4C1CB18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promover a simplificação administrativa, a modernização da gestão pública e a integração dos serviços públicos, especialmente aqueles prestados por meio eletrônico;</w:t>
      </w:r>
    </w:p>
    <w:p w14:paraId="174C9F9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29BA740" w14:textId="03D3B3A2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monitorar o desempenho e avaliar a concepção, a implementação e os resultados das políticas e das ações prioritárias para assegurar que as diretrizes estratégicas sejam observadas;</w:t>
      </w:r>
    </w:p>
    <w:p w14:paraId="3C41DE5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586C34E4" w14:textId="4DC3880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articular instituições e coordenar processos para melhorar a integração entre</w:t>
      </w:r>
      <w:r w:rsidR="00B37756" w:rsidRPr="00164FB6">
        <w:rPr>
          <w:spacing w:val="-2"/>
        </w:rPr>
        <w:t xml:space="preserve"> </w:t>
      </w:r>
      <w:r w:rsidRPr="00164FB6">
        <w:rPr>
          <w:spacing w:val="-2"/>
        </w:rPr>
        <w:t>diferentes níveis e esferas do setor público, com vistas a gerar, preservar e entregar valor público;</w:t>
      </w:r>
    </w:p>
    <w:p w14:paraId="5D78B03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A35E55F" w14:textId="6146823B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fazer incorporar padrões elevados de conduta pela alta administração para orientar o comportamento dos agentes públicos, em consonância com as funções e as atribuições de seus órgãos e de suas entidades;</w:t>
      </w:r>
    </w:p>
    <w:p w14:paraId="6EE3F456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0AD3F7D" w14:textId="68FEFDC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implementar controles internos fundamentados na gestão de risco, que privilegiará ações estratégicas de prevenção antes de processos sancionadores;</w:t>
      </w:r>
    </w:p>
    <w:p w14:paraId="30DD8E9D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16946F2" w14:textId="195AAE2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avaliar as propostas de criação, expansão ou aperfeiçoamento de políticas públicas e de concessão de incentivos fiscais e aferir, sempre que possível, seus custos e benefícios;</w:t>
      </w:r>
    </w:p>
    <w:p w14:paraId="3E4D6E1C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ED39605" w14:textId="46D81FD4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VIII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manter processo decisório orientado pelas evidências, pela conformidade legal, pela qualidade regulatória, pela desburocratização e pelo apoio à participação da sociedade;</w:t>
      </w:r>
    </w:p>
    <w:p w14:paraId="1E196980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62F0B12" w14:textId="6C49E60C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IX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editar e revisar atos normativos, pautando-se pelas boas práticas regulatórias e pela legitimidade, estabilidade e coerência do ordenamento jurídico e realizando consultas públicas sempre que conveniente;</w:t>
      </w:r>
    </w:p>
    <w:p w14:paraId="6C189CD4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5C86F6E" w14:textId="6A0B58FC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X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definir formalmente as funções, as competências e as responsabilidades das estruturas e dos arranjos institucionais; e</w:t>
      </w:r>
    </w:p>
    <w:p w14:paraId="09C8548D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567AA26" w14:textId="5061BAD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XI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promover a comunicação aberta, voluntária e transparente das atividades e dos resultados da organização, de maneira a fortalecer o acesso público à informação.</w:t>
      </w:r>
    </w:p>
    <w:p w14:paraId="3CF8340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4F74FD1" w14:textId="445AA71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5º</w:t>
      </w:r>
      <w:r w:rsidR="007616BC" w:rsidRPr="00164FB6">
        <w:rPr>
          <w:b/>
          <w:bCs/>
          <w:spacing w:val="-2"/>
        </w:rPr>
        <w:t xml:space="preserve"> </w:t>
      </w:r>
      <w:r w:rsidRPr="00164FB6">
        <w:rPr>
          <w:spacing w:val="-2"/>
        </w:rPr>
        <w:t xml:space="preserve"> São mecanismos para o exercício da governança pública:</w:t>
      </w:r>
    </w:p>
    <w:p w14:paraId="72DCCCAE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EBDE0DC" w14:textId="504A07F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liderança, que compreende </w:t>
      </w:r>
      <w:r w:rsidR="00E7422F" w:rsidRPr="00164FB6">
        <w:rPr>
          <w:spacing w:val="-2"/>
        </w:rPr>
        <w:t xml:space="preserve">um </w:t>
      </w:r>
      <w:r w:rsidRPr="00164FB6">
        <w:rPr>
          <w:spacing w:val="-2"/>
        </w:rPr>
        <w:t>conjunto de práticas de natureza humana ou comportamental exercida nos principais cargos das organizações, para assegurar a existência das condições mínimas para o exercício da boa governança, quais sejam:</w:t>
      </w:r>
    </w:p>
    <w:p w14:paraId="281F099A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55685341" w14:textId="1BA51B8F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>a) integridade;</w:t>
      </w:r>
    </w:p>
    <w:p w14:paraId="6C5DC6B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E4EBDDB" w14:textId="49C02BD1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>b) competência;</w:t>
      </w:r>
    </w:p>
    <w:p w14:paraId="038D1EAC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DD63AD9" w14:textId="649D59DB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>c) responsabilidade; e</w:t>
      </w:r>
    </w:p>
    <w:p w14:paraId="0A0E46CB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2E9C6AD4" w14:textId="57DE667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>d) motivação;</w:t>
      </w:r>
    </w:p>
    <w:p w14:paraId="072E8D0D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1BB123E" w14:textId="4320BFF0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estratégia, que compreende a definição de diretrizes, objetivos, planos e ações, além de critérios de priorização e alinhamento entre organizações e partes interessadas, para que os serviços e produtos de responsabilidade da organização alcancem o resultado pretendido; e</w:t>
      </w:r>
    </w:p>
    <w:p w14:paraId="4EA8309B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40B7BC73" w14:textId="5A7023E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controle, que compreende processos estruturados para mitigar os possíveis riscos com vistas ao alcance dos objetivos institucionais e para garantir a execução ordenada, ética, econômica, eficiente e eficaz das atividades da organização, com preservação da legalidade e da economicidade no dispêndio de recursos públicos.</w:t>
      </w:r>
    </w:p>
    <w:p w14:paraId="7DFBB21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> </w:t>
      </w:r>
    </w:p>
    <w:p w14:paraId="63C55F24" w14:textId="5351129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6º</w:t>
      </w:r>
      <w:r w:rsidR="007616BC" w:rsidRPr="00164FB6">
        <w:rPr>
          <w:b/>
          <w:bCs/>
          <w:spacing w:val="-2"/>
        </w:rPr>
        <w:t xml:space="preserve"> </w:t>
      </w:r>
      <w:r w:rsidRPr="00164FB6">
        <w:rPr>
          <w:spacing w:val="-2"/>
        </w:rPr>
        <w:t xml:space="preserve"> Caberá à alta administração dos órgãos e das entidades, observad</w:t>
      </w:r>
      <w:r w:rsidR="00E7422F" w:rsidRPr="00164FB6">
        <w:rPr>
          <w:spacing w:val="-2"/>
        </w:rPr>
        <w:t>a</w:t>
      </w:r>
      <w:r w:rsidRPr="00164FB6">
        <w:rPr>
          <w:spacing w:val="-2"/>
        </w:rPr>
        <w:t xml:space="preserve">s as normas e os procedimentos específicos aplicáveis, implementar e manter mecanismos, instâncias e práticas de governança em consonância com as diretrizes </w:t>
      </w:r>
      <w:r w:rsidR="00FF2D8D">
        <w:rPr>
          <w:spacing w:val="-2"/>
        </w:rPr>
        <w:t xml:space="preserve">e </w:t>
      </w:r>
      <w:r w:rsidR="00FF2D8D" w:rsidRPr="007510A3">
        <w:rPr>
          <w:spacing w:val="-2"/>
        </w:rPr>
        <w:t xml:space="preserve">os princípios </w:t>
      </w:r>
      <w:r w:rsidRPr="00164FB6">
        <w:rPr>
          <w:spacing w:val="-2"/>
        </w:rPr>
        <w:t>estabelecid</w:t>
      </w:r>
      <w:r w:rsidR="00FF2D8D">
        <w:rPr>
          <w:spacing w:val="-2"/>
        </w:rPr>
        <w:t>o</w:t>
      </w:r>
      <w:r w:rsidRPr="00164FB6">
        <w:rPr>
          <w:spacing w:val="-2"/>
        </w:rPr>
        <w:t xml:space="preserve">s </w:t>
      </w:r>
      <w:r w:rsidR="008A52E6">
        <w:rPr>
          <w:spacing w:val="-2"/>
        </w:rPr>
        <w:t xml:space="preserve">por </w:t>
      </w:r>
      <w:r w:rsidRPr="00164FB6">
        <w:rPr>
          <w:spacing w:val="-2"/>
        </w:rPr>
        <w:t>esta Lei.</w:t>
      </w:r>
    </w:p>
    <w:p w14:paraId="68C351B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25DFE057" w14:textId="318532BC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Parágrafo único.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 xml:space="preserve">Os mecanismos, as instâncias e as práticas de governança de que trata o </w:t>
      </w:r>
      <w:r w:rsidRPr="00164FB6">
        <w:rPr>
          <w:i/>
          <w:iCs/>
          <w:spacing w:val="-2"/>
        </w:rPr>
        <w:t>caput</w:t>
      </w:r>
      <w:r w:rsidR="008945BF" w:rsidRPr="00164FB6">
        <w:rPr>
          <w:i/>
          <w:iCs/>
          <w:spacing w:val="-2"/>
        </w:rPr>
        <w:t xml:space="preserve"> </w:t>
      </w:r>
      <w:r w:rsidR="008945BF" w:rsidRPr="00164FB6">
        <w:rPr>
          <w:spacing w:val="-2"/>
        </w:rPr>
        <w:t>deste artigo</w:t>
      </w:r>
      <w:r w:rsidRPr="00164FB6">
        <w:rPr>
          <w:spacing w:val="-2"/>
        </w:rPr>
        <w:t xml:space="preserve"> incluirão, no mínimo:</w:t>
      </w:r>
    </w:p>
    <w:p w14:paraId="5A98D0AB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8AE318A" w14:textId="68436BB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formas de acompanhamento de resultados;</w:t>
      </w:r>
    </w:p>
    <w:p w14:paraId="554D6A44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DAF3CFE" w14:textId="7D886082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soluções para melhoria do desempenho das organizações; e</w:t>
      </w:r>
    </w:p>
    <w:p w14:paraId="16B2CEE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6C3CF83" w14:textId="73EB664A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instrumentos de promoção do processo decisório fundamentado em evidências.</w:t>
      </w:r>
    </w:p>
    <w:p w14:paraId="07B2408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50FCBC84" w14:textId="19639C0D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7º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 xml:space="preserve">A alta administração das organizações da </w:t>
      </w:r>
      <w:r w:rsidR="00AF3990" w:rsidRPr="00164FB6">
        <w:rPr>
          <w:spacing w:val="-2"/>
        </w:rPr>
        <w:t>Administração</w:t>
      </w:r>
      <w:r w:rsidRPr="00164FB6">
        <w:rPr>
          <w:spacing w:val="-2"/>
        </w:rPr>
        <w:t xml:space="preserve"> </w:t>
      </w:r>
      <w:r w:rsidR="00D27089" w:rsidRPr="00164FB6">
        <w:rPr>
          <w:spacing w:val="-2"/>
        </w:rPr>
        <w:t xml:space="preserve">Direta </w:t>
      </w:r>
      <w:r w:rsidRPr="00164FB6">
        <w:rPr>
          <w:spacing w:val="-2"/>
        </w:rPr>
        <w:t xml:space="preserve">e </w:t>
      </w:r>
      <w:r w:rsidR="00D27089" w:rsidRPr="00164FB6">
        <w:rPr>
          <w:spacing w:val="-2"/>
        </w:rPr>
        <w:t>I</w:t>
      </w:r>
      <w:r w:rsidRPr="00164FB6">
        <w:rPr>
          <w:spacing w:val="-2"/>
        </w:rPr>
        <w:t>ndireta deverá estabelecer, manter, monitorar e aprimorar sistema de gestão de riscos e controles internos com vistas à identificação, à avaliação, ao tratamento, ao monitoramento e à análise crítica de riscos que possam impactar a implementação da estratégia e a consecução dos objetivos da organização no cumprimento da sua missão institucional, observados os seguintes princípios:</w:t>
      </w:r>
    </w:p>
    <w:p w14:paraId="431D16BF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0AD8EB66" w14:textId="1D665739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implementação e aplicação de forma sistemática, estruturada, oportuna e documentada, subordinada ao interesse público;</w:t>
      </w:r>
    </w:p>
    <w:p w14:paraId="38D43F5A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ECB5A8F" w14:textId="7A2CD78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integração da gestão de riscos ao processo de planejamento estratégico e aos seus desdobramentos, às atividades, aos processos de trabalho e aos projetos em todos os níveis da organização, relevantes para a execução da estratégia e </w:t>
      </w:r>
      <w:r w:rsidR="0045633C">
        <w:rPr>
          <w:spacing w:val="-2"/>
        </w:rPr>
        <w:t xml:space="preserve">para </w:t>
      </w:r>
      <w:r w:rsidRPr="00164FB6">
        <w:rPr>
          <w:spacing w:val="-2"/>
        </w:rPr>
        <w:t>o alcance dos objetivos institucionais;</w:t>
      </w:r>
    </w:p>
    <w:p w14:paraId="2D267F62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03A1785B" w14:textId="2FE84D0F" w:rsidR="00CD2B19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estabelecimento de controles internos proporcionais aos riscos, de maneira a considerar suas causas, </w:t>
      </w:r>
      <w:r w:rsidR="00D27089" w:rsidRPr="00164FB6">
        <w:rPr>
          <w:spacing w:val="-2"/>
        </w:rPr>
        <w:t xml:space="preserve">suas </w:t>
      </w:r>
      <w:r w:rsidRPr="00164FB6">
        <w:rPr>
          <w:spacing w:val="-2"/>
        </w:rPr>
        <w:t xml:space="preserve">fontes, </w:t>
      </w:r>
      <w:r w:rsidR="00D27089" w:rsidRPr="00164FB6">
        <w:rPr>
          <w:spacing w:val="-2"/>
        </w:rPr>
        <w:t xml:space="preserve">suas </w:t>
      </w:r>
      <w:r w:rsidRPr="00164FB6">
        <w:rPr>
          <w:spacing w:val="-2"/>
        </w:rPr>
        <w:t xml:space="preserve">consequências e </w:t>
      </w:r>
      <w:r w:rsidR="00D27089" w:rsidRPr="00164FB6">
        <w:rPr>
          <w:spacing w:val="-2"/>
        </w:rPr>
        <w:t xml:space="preserve">seus </w:t>
      </w:r>
      <w:r w:rsidRPr="00164FB6">
        <w:rPr>
          <w:spacing w:val="-2"/>
        </w:rPr>
        <w:t>impactos, observada a relação custo</w:t>
      </w:r>
      <w:r w:rsidR="00D27089" w:rsidRPr="00164FB6">
        <w:rPr>
          <w:spacing w:val="-2"/>
        </w:rPr>
        <w:noBreakHyphen/>
      </w:r>
      <w:r w:rsidRPr="00164FB6">
        <w:rPr>
          <w:spacing w:val="-2"/>
        </w:rPr>
        <w:t>benefício; e</w:t>
      </w:r>
    </w:p>
    <w:p w14:paraId="7403CD5F" w14:textId="77777777" w:rsidR="00CD2B19" w:rsidRPr="00164FB6" w:rsidRDefault="00CD2B19" w:rsidP="007F5E6B">
      <w:pPr>
        <w:shd w:val="clear" w:color="auto" w:fill="FFFFFF"/>
        <w:ind w:firstLine="1418"/>
        <w:jc w:val="both"/>
        <w:rPr>
          <w:spacing w:val="-2"/>
        </w:rPr>
      </w:pPr>
    </w:p>
    <w:p w14:paraId="1A5DE3C3" w14:textId="7DE104F3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utilização dos resultados da gestão de riscos para apoio à melhoria contínua do desempenho e dos processos de gerenciamento de risco, controle e governança.</w:t>
      </w:r>
    </w:p>
    <w:p w14:paraId="2ACA58B7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EF77214" w14:textId="3C87C993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8º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>A auditoria interna governamental deverá adicionar valor e melhorar as operações das organizações para o alcance de seus objetivos, mediante a abordagem sistemática e disciplinada para avaliar e melhorar a eficácia dos processos de gerenciamento de riscos, dos controles e da governança, por meio d</w:t>
      </w:r>
      <w:r w:rsidR="00FC4C5E" w:rsidRPr="00164FB6">
        <w:rPr>
          <w:spacing w:val="-2"/>
        </w:rPr>
        <w:t>as seguintes ações</w:t>
      </w:r>
      <w:r w:rsidRPr="00164FB6">
        <w:rPr>
          <w:spacing w:val="-2"/>
        </w:rPr>
        <w:t>:</w:t>
      </w:r>
    </w:p>
    <w:p w14:paraId="14FE981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15E032A0" w14:textId="35DA436E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lastRenderedPageBreak/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realização de trabalhos de avaliação e </w:t>
      </w:r>
      <w:r w:rsidR="00FC4C5E" w:rsidRPr="00164FB6">
        <w:rPr>
          <w:spacing w:val="-2"/>
        </w:rPr>
        <w:t xml:space="preserve">de </w:t>
      </w:r>
      <w:r w:rsidRPr="00164FB6">
        <w:rPr>
          <w:spacing w:val="-2"/>
        </w:rPr>
        <w:t xml:space="preserve">consultoria de forma independente, </w:t>
      </w:r>
      <w:r w:rsidR="00FC4C5E" w:rsidRPr="00164FB6">
        <w:rPr>
          <w:spacing w:val="-2"/>
        </w:rPr>
        <w:t>de acordo com</w:t>
      </w:r>
      <w:r w:rsidRPr="00164FB6">
        <w:rPr>
          <w:spacing w:val="-2"/>
        </w:rPr>
        <w:t xml:space="preserve"> padrões de auditoria e ética profissional reconhecidos internacionalmente;</w:t>
      </w:r>
    </w:p>
    <w:p w14:paraId="39EBAFB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5502D0EE" w14:textId="1159B62B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adoção de abordagem baseada em risco para o planejamento de suas atividades e para a definição do escopo, da natureza, da época e da extensão dos procedimentos de auditoria; e</w:t>
      </w:r>
    </w:p>
    <w:p w14:paraId="0260224C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8162C20" w14:textId="39AE55FB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promoção à prevenção, à detecção e à investigação de fraudes praticadas por agentes públicos ou privados na utilização de recursos públicos.</w:t>
      </w:r>
    </w:p>
    <w:p w14:paraId="38BB629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5A7B685" w14:textId="6127ECF3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9º</w:t>
      </w:r>
      <w:r w:rsidRPr="00164FB6">
        <w:rPr>
          <w:spacing w:val="-2"/>
        </w:rPr>
        <w:t xml:space="preserve"> </w:t>
      </w:r>
      <w:r w:rsidR="00D0596A" w:rsidRPr="00164FB6">
        <w:rPr>
          <w:spacing w:val="-2"/>
        </w:rPr>
        <w:t xml:space="preserve"> </w:t>
      </w:r>
      <w:r w:rsidRPr="00164FB6">
        <w:rPr>
          <w:spacing w:val="-2"/>
        </w:rPr>
        <w:t xml:space="preserve">Os órgãos e as entidades da </w:t>
      </w:r>
      <w:r w:rsidR="006E02D1" w:rsidRPr="004368BB">
        <w:rPr>
          <w:spacing w:val="-2"/>
        </w:rPr>
        <w:t xml:space="preserve">Administração Direta, </w:t>
      </w:r>
      <w:r w:rsidR="006E02D1" w:rsidRPr="006E02D1">
        <w:rPr>
          <w:spacing w:val="-2"/>
        </w:rPr>
        <w:t xml:space="preserve">Autárquica </w:t>
      </w:r>
      <w:r w:rsidR="006E02D1">
        <w:rPr>
          <w:spacing w:val="-2"/>
        </w:rPr>
        <w:t>e</w:t>
      </w:r>
      <w:r w:rsidR="006E02D1" w:rsidRPr="006E02D1">
        <w:rPr>
          <w:spacing w:val="-2"/>
        </w:rPr>
        <w:t xml:space="preserve"> Fundacional </w:t>
      </w:r>
      <w:r w:rsidRPr="00164FB6">
        <w:rPr>
          <w:spacing w:val="-2"/>
        </w:rPr>
        <w:t xml:space="preserve">instituirão programa de integridade, com o objetivo de promover a adoção de medidas e ações institucionais destinadas à prevenção, à detecção, à punição e à remediação de fraudes e </w:t>
      </w:r>
      <w:r w:rsidR="001D02DF">
        <w:rPr>
          <w:spacing w:val="-2"/>
        </w:rPr>
        <w:t xml:space="preserve">de outros </w:t>
      </w:r>
      <w:r w:rsidRPr="00164FB6">
        <w:rPr>
          <w:spacing w:val="-2"/>
        </w:rPr>
        <w:t>atos de corrupção, estruturado nos seguintes eixos:</w:t>
      </w:r>
    </w:p>
    <w:p w14:paraId="3E4723D1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E11DF8F" w14:textId="53BA0642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comprometimento e apoio da alta administração;</w:t>
      </w:r>
    </w:p>
    <w:p w14:paraId="47A15D1A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0EBA6996" w14:textId="228F05F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existência de unidade responsável pela implementação no órgão ou na entidade;</w:t>
      </w:r>
    </w:p>
    <w:p w14:paraId="2E32D215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2071640E" w14:textId="63E4B576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III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análise, avaliação e gestão dos riscos associados ao tema da integridade; e</w:t>
      </w:r>
    </w:p>
    <w:p w14:paraId="4615D0A8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9182848" w14:textId="58125CD0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spacing w:val="-2"/>
        </w:rPr>
        <w:t xml:space="preserve">IV </w:t>
      </w:r>
      <w:r w:rsidR="00081FC8" w:rsidRPr="00164FB6">
        <w:rPr>
          <w:spacing w:val="-2"/>
        </w:rPr>
        <w:t>–</w:t>
      </w:r>
      <w:r w:rsidRPr="00164FB6">
        <w:rPr>
          <w:spacing w:val="-2"/>
        </w:rPr>
        <w:t xml:space="preserve"> monitoramento contínuo dos atributos do programa de integridade.</w:t>
      </w:r>
    </w:p>
    <w:p w14:paraId="6FEBAB29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6ECE18A9" w14:textId="004DC2B8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10.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>É dever da Administração Pública utilizar os recursos disponíveis e empreender os esforços necessários para promover ações de fomento à cultura da política de governança, da integridade e do </w:t>
      </w:r>
      <w:proofErr w:type="spellStart"/>
      <w:r w:rsidRPr="00164FB6">
        <w:rPr>
          <w:i/>
          <w:iCs/>
          <w:spacing w:val="-2"/>
        </w:rPr>
        <w:t>compliance</w:t>
      </w:r>
      <w:proofErr w:type="spellEnd"/>
      <w:r w:rsidRPr="00164FB6">
        <w:rPr>
          <w:i/>
          <w:iCs/>
          <w:spacing w:val="-2"/>
        </w:rPr>
        <w:t>.</w:t>
      </w:r>
    </w:p>
    <w:p w14:paraId="3B5AFE5D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739508AC" w14:textId="4233B24F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11.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</w:t>
      </w:r>
      <w:r w:rsidRPr="00164FB6">
        <w:rPr>
          <w:spacing w:val="-2"/>
        </w:rPr>
        <w:t>Esta Lei deverá ser regulamentada no prazo de 120</w:t>
      </w:r>
      <w:r w:rsidR="007616BC" w:rsidRPr="00164FB6">
        <w:rPr>
          <w:spacing w:val="-2"/>
        </w:rPr>
        <w:t xml:space="preserve"> (cento e vinte)</w:t>
      </w:r>
      <w:r w:rsidRPr="00164FB6">
        <w:rPr>
          <w:spacing w:val="-2"/>
        </w:rPr>
        <w:t xml:space="preserve"> dias</w:t>
      </w:r>
      <w:r w:rsidR="007616BC" w:rsidRPr="00164FB6">
        <w:rPr>
          <w:spacing w:val="-2"/>
        </w:rPr>
        <w:t>, contados da data de</w:t>
      </w:r>
      <w:r w:rsidRPr="00164FB6">
        <w:rPr>
          <w:spacing w:val="-2"/>
        </w:rPr>
        <w:t xml:space="preserve"> sua publicação.</w:t>
      </w:r>
    </w:p>
    <w:p w14:paraId="36852C1E" w14:textId="77777777" w:rsidR="007F5E6B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</w:p>
    <w:p w14:paraId="372D98B6" w14:textId="0F31CC18" w:rsidR="003F39AE" w:rsidRPr="00164FB6" w:rsidRDefault="007F5E6B" w:rsidP="007F5E6B">
      <w:pPr>
        <w:shd w:val="clear" w:color="auto" w:fill="FFFFFF"/>
        <w:ind w:firstLine="1418"/>
        <w:jc w:val="both"/>
        <w:rPr>
          <w:spacing w:val="-2"/>
        </w:rPr>
      </w:pPr>
      <w:r w:rsidRPr="00164FB6">
        <w:rPr>
          <w:b/>
          <w:bCs/>
          <w:spacing w:val="-2"/>
        </w:rPr>
        <w:t>Art. 12.</w:t>
      </w:r>
      <w:r w:rsidRPr="00164FB6">
        <w:rPr>
          <w:spacing w:val="-2"/>
        </w:rPr>
        <w:t xml:space="preserve"> </w:t>
      </w:r>
      <w:r w:rsidR="007616BC" w:rsidRPr="00164FB6">
        <w:rPr>
          <w:spacing w:val="-2"/>
        </w:rPr>
        <w:t xml:space="preserve"> Esta Lei entra em vigor na data de sua publicação.</w:t>
      </w:r>
    </w:p>
    <w:p w14:paraId="2385DC6E" w14:textId="61662B52" w:rsidR="00A223CF" w:rsidRPr="007F5E6B" w:rsidRDefault="00A223CF" w:rsidP="00A223CF">
      <w:pPr>
        <w:shd w:val="clear" w:color="auto" w:fill="FFFFFF"/>
        <w:jc w:val="both"/>
      </w:pPr>
    </w:p>
    <w:p w14:paraId="7098C5D9" w14:textId="77777777" w:rsidR="00222F0B" w:rsidRPr="007F5E6B" w:rsidRDefault="00222F0B" w:rsidP="00A223CF">
      <w:pPr>
        <w:shd w:val="clear" w:color="auto" w:fill="FFFFFF"/>
        <w:jc w:val="both"/>
      </w:pPr>
    </w:p>
    <w:p w14:paraId="2FEAFBE3" w14:textId="2928DF1B" w:rsidR="00222F0B" w:rsidRDefault="00222F0B" w:rsidP="00A223CF">
      <w:pPr>
        <w:shd w:val="clear" w:color="auto" w:fill="FFFFFF"/>
        <w:jc w:val="both"/>
      </w:pPr>
    </w:p>
    <w:p w14:paraId="2003C79B" w14:textId="4C0D5302" w:rsidR="00B67344" w:rsidRDefault="00B67344" w:rsidP="00A223CF">
      <w:pPr>
        <w:shd w:val="clear" w:color="auto" w:fill="FFFFFF"/>
        <w:jc w:val="both"/>
      </w:pPr>
    </w:p>
    <w:p w14:paraId="36365B6E" w14:textId="5E5E4D6C" w:rsidR="00B67344" w:rsidRDefault="00B67344" w:rsidP="00A223CF">
      <w:pPr>
        <w:shd w:val="clear" w:color="auto" w:fill="FFFFFF"/>
        <w:jc w:val="both"/>
      </w:pPr>
    </w:p>
    <w:p w14:paraId="62CD067E" w14:textId="6E7EFCF1" w:rsidR="00B67344" w:rsidRDefault="00B67344" w:rsidP="00A223CF">
      <w:pPr>
        <w:shd w:val="clear" w:color="auto" w:fill="FFFFFF"/>
        <w:jc w:val="both"/>
      </w:pPr>
    </w:p>
    <w:p w14:paraId="18BA9C58" w14:textId="4A0C99EF" w:rsidR="00B67344" w:rsidRDefault="00B67344" w:rsidP="00A223CF">
      <w:pPr>
        <w:shd w:val="clear" w:color="auto" w:fill="FFFFFF"/>
        <w:jc w:val="both"/>
      </w:pPr>
    </w:p>
    <w:p w14:paraId="607A47FB" w14:textId="4E284013" w:rsidR="00B67344" w:rsidRDefault="00B67344" w:rsidP="00A223CF">
      <w:pPr>
        <w:shd w:val="clear" w:color="auto" w:fill="FFFFFF"/>
        <w:jc w:val="both"/>
      </w:pPr>
    </w:p>
    <w:p w14:paraId="792EF536" w14:textId="77777777" w:rsidR="00B67344" w:rsidRPr="007F5E6B" w:rsidRDefault="00B67344" w:rsidP="00A223CF">
      <w:pPr>
        <w:shd w:val="clear" w:color="auto" w:fill="FFFFFF"/>
        <w:jc w:val="both"/>
      </w:pPr>
    </w:p>
    <w:p w14:paraId="79685F60" w14:textId="6D4E51C4" w:rsidR="008A5BE2" w:rsidRPr="00164FB6" w:rsidRDefault="007F5E6B" w:rsidP="00184341">
      <w:pPr>
        <w:shd w:val="clear" w:color="auto" w:fill="FFFFFF"/>
        <w:jc w:val="both"/>
        <w:rPr>
          <w:sz w:val="20"/>
          <w:szCs w:val="20"/>
        </w:rPr>
      </w:pPr>
      <w:r w:rsidRPr="00164FB6">
        <w:rPr>
          <w:sz w:val="20"/>
          <w:szCs w:val="20"/>
        </w:rPr>
        <w:t>/JEN</w:t>
      </w:r>
    </w:p>
    <w:sectPr w:rsidR="008A5BE2" w:rsidRPr="00164FB6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777F" w14:textId="77777777" w:rsidR="009F6D19" w:rsidRDefault="009F6D19">
      <w:r>
        <w:separator/>
      </w:r>
    </w:p>
  </w:endnote>
  <w:endnote w:type="continuationSeparator" w:id="0">
    <w:p w14:paraId="377A6A34" w14:textId="77777777" w:rsidR="009F6D19" w:rsidRDefault="009F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8B5B" w14:textId="77777777" w:rsidR="009F6D19" w:rsidRDefault="009F6D19">
      <w:r>
        <w:separator/>
      </w:r>
    </w:p>
  </w:footnote>
  <w:footnote w:type="continuationSeparator" w:id="0">
    <w:p w14:paraId="7E91E0D5" w14:textId="77777777" w:rsidR="009F6D19" w:rsidRDefault="009F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AE2E98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C53A49">
      <w:rPr>
        <w:b/>
        <w:bCs/>
      </w:rPr>
      <w:t>20</w:t>
    </w:r>
    <w:r w:rsidR="001B7989">
      <w:rPr>
        <w:b/>
        <w:bCs/>
      </w:rPr>
      <w:t>6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5ADA7C6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C53A49">
      <w:rPr>
        <w:b/>
        <w:bCs/>
      </w:rPr>
      <w:t>1</w:t>
    </w:r>
    <w:r w:rsidR="001B7989">
      <w:rPr>
        <w:b/>
        <w:bCs/>
      </w:rPr>
      <w:t>07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81FC8"/>
    <w:rsid w:val="000962D6"/>
    <w:rsid w:val="000A618A"/>
    <w:rsid w:val="000A686D"/>
    <w:rsid w:val="000B4CC5"/>
    <w:rsid w:val="000B5093"/>
    <w:rsid w:val="000C34D7"/>
    <w:rsid w:val="000C5A64"/>
    <w:rsid w:val="000C5BCE"/>
    <w:rsid w:val="000D0AE9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64FB6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B7989"/>
    <w:rsid w:val="001C4F5B"/>
    <w:rsid w:val="001D02DF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6930"/>
    <w:rsid w:val="002478CF"/>
    <w:rsid w:val="00250284"/>
    <w:rsid w:val="00254F83"/>
    <w:rsid w:val="00257959"/>
    <w:rsid w:val="002622E2"/>
    <w:rsid w:val="00266569"/>
    <w:rsid w:val="002717C5"/>
    <w:rsid w:val="00281135"/>
    <w:rsid w:val="00283895"/>
    <w:rsid w:val="00286278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B5C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265"/>
    <w:rsid w:val="00426579"/>
    <w:rsid w:val="004273D2"/>
    <w:rsid w:val="0043234A"/>
    <w:rsid w:val="004338F1"/>
    <w:rsid w:val="00434C68"/>
    <w:rsid w:val="004368BB"/>
    <w:rsid w:val="00444607"/>
    <w:rsid w:val="00445897"/>
    <w:rsid w:val="00446F25"/>
    <w:rsid w:val="00451AED"/>
    <w:rsid w:val="00453B81"/>
    <w:rsid w:val="0045633C"/>
    <w:rsid w:val="004601A0"/>
    <w:rsid w:val="004607EB"/>
    <w:rsid w:val="0046365B"/>
    <w:rsid w:val="0046371A"/>
    <w:rsid w:val="0047795B"/>
    <w:rsid w:val="00482F1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C4BEB"/>
    <w:rsid w:val="004D0D9A"/>
    <w:rsid w:val="004D2C22"/>
    <w:rsid w:val="004D3105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203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223F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02D1"/>
    <w:rsid w:val="006E12DF"/>
    <w:rsid w:val="006E282F"/>
    <w:rsid w:val="006F33E2"/>
    <w:rsid w:val="006F5788"/>
    <w:rsid w:val="006F67D4"/>
    <w:rsid w:val="006F6B3B"/>
    <w:rsid w:val="006F6D9D"/>
    <w:rsid w:val="00700ED3"/>
    <w:rsid w:val="00703B9D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6BC"/>
    <w:rsid w:val="0076170E"/>
    <w:rsid w:val="00762264"/>
    <w:rsid w:val="00762DBA"/>
    <w:rsid w:val="00767A7F"/>
    <w:rsid w:val="00767FB8"/>
    <w:rsid w:val="00772B09"/>
    <w:rsid w:val="007846FD"/>
    <w:rsid w:val="007942CF"/>
    <w:rsid w:val="007953F9"/>
    <w:rsid w:val="007959A3"/>
    <w:rsid w:val="007960AA"/>
    <w:rsid w:val="007A2A10"/>
    <w:rsid w:val="007A3921"/>
    <w:rsid w:val="007A545D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7F5E6B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45BF"/>
    <w:rsid w:val="00895E9B"/>
    <w:rsid w:val="0089741A"/>
    <w:rsid w:val="008A01F9"/>
    <w:rsid w:val="008A52E6"/>
    <w:rsid w:val="008A5BE2"/>
    <w:rsid w:val="008B309B"/>
    <w:rsid w:val="008C3A1B"/>
    <w:rsid w:val="008C7361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33CB1"/>
    <w:rsid w:val="009408C0"/>
    <w:rsid w:val="00943437"/>
    <w:rsid w:val="009472B7"/>
    <w:rsid w:val="009479C2"/>
    <w:rsid w:val="00952E5F"/>
    <w:rsid w:val="009562BD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D19"/>
    <w:rsid w:val="009F6E02"/>
    <w:rsid w:val="00A01886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1D84"/>
    <w:rsid w:val="00AA7CCC"/>
    <w:rsid w:val="00AB4FE1"/>
    <w:rsid w:val="00AB51E5"/>
    <w:rsid w:val="00AB6328"/>
    <w:rsid w:val="00AC0D41"/>
    <w:rsid w:val="00AC2218"/>
    <w:rsid w:val="00AD009D"/>
    <w:rsid w:val="00AE250A"/>
    <w:rsid w:val="00AF254F"/>
    <w:rsid w:val="00AF3990"/>
    <w:rsid w:val="00B03454"/>
    <w:rsid w:val="00B129E9"/>
    <w:rsid w:val="00B17196"/>
    <w:rsid w:val="00B178F4"/>
    <w:rsid w:val="00B203DA"/>
    <w:rsid w:val="00B206C9"/>
    <w:rsid w:val="00B22A3C"/>
    <w:rsid w:val="00B244E2"/>
    <w:rsid w:val="00B308CD"/>
    <w:rsid w:val="00B34670"/>
    <w:rsid w:val="00B37756"/>
    <w:rsid w:val="00B377BD"/>
    <w:rsid w:val="00B37A29"/>
    <w:rsid w:val="00B40877"/>
    <w:rsid w:val="00B40FA6"/>
    <w:rsid w:val="00B4214A"/>
    <w:rsid w:val="00B46234"/>
    <w:rsid w:val="00B4732F"/>
    <w:rsid w:val="00B61E8C"/>
    <w:rsid w:val="00B61FE7"/>
    <w:rsid w:val="00B628E7"/>
    <w:rsid w:val="00B65980"/>
    <w:rsid w:val="00B67064"/>
    <w:rsid w:val="00B6734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BE4ED6"/>
    <w:rsid w:val="00BF11DA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3A49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2B19"/>
    <w:rsid w:val="00CD62A7"/>
    <w:rsid w:val="00CD7A70"/>
    <w:rsid w:val="00CE0E88"/>
    <w:rsid w:val="00CE31EB"/>
    <w:rsid w:val="00CF218A"/>
    <w:rsid w:val="00D00992"/>
    <w:rsid w:val="00D03911"/>
    <w:rsid w:val="00D04870"/>
    <w:rsid w:val="00D0596A"/>
    <w:rsid w:val="00D21B18"/>
    <w:rsid w:val="00D23336"/>
    <w:rsid w:val="00D27089"/>
    <w:rsid w:val="00D32EB4"/>
    <w:rsid w:val="00D32F7F"/>
    <w:rsid w:val="00D36768"/>
    <w:rsid w:val="00D4364B"/>
    <w:rsid w:val="00D44ED8"/>
    <w:rsid w:val="00D47542"/>
    <w:rsid w:val="00D47FD5"/>
    <w:rsid w:val="00D51124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73B8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22F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13F1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C43CC"/>
    <w:rsid w:val="00FC4C5E"/>
    <w:rsid w:val="00FE00ED"/>
    <w:rsid w:val="00FE4F06"/>
    <w:rsid w:val="00FE6A5B"/>
    <w:rsid w:val="00FE723B"/>
    <w:rsid w:val="00FF2187"/>
    <w:rsid w:val="00FF2D8D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B90C61"/>
  <w15:chartTrackingRefBased/>
  <w15:docId w15:val="{A7780436-259E-4446-A136-3FBDD56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D1E8-EE20-4225-8891-98C61920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206</TotalTime>
  <Pages>6</Pages>
  <Words>1809</Words>
  <Characters>10554</Characters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2019-04-23T17:05:00Z</cp:lastPrinted>
  <dcterms:created xsi:type="dcterms:W3CDTF">2022-06-17T15:52:00Z</dcterms:created>
  <dcterms:modified xsi:type="dcterms:W3CDTF">2022-10-05T18:04:00Z</dcterms:modified>
</cp:coreProperties>
</file>