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51930388" w14:textId="1302070E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 xml:space="preserve">Muito tem-se visto nas mídias sociais e tradicionais notícias de altos cachês pagos com dinheiro público para artistas em </w:t>
      </w:r>
      <w:r w:rsidRPr="00725202">
        <w:rPr>
          <w:rFonts w:eastAsia="Calibri"/>
          <w:i/>
          <w:iCs/>
          <w:lang w:eastAsia="en-US"/>
        </w:rPr>
        <w:t>shows</w:t>
      </w:r>
      <w:r w:rsidRPr="00280FF5">
        <w:rPr>
          <w:rFonts w:eastAsia="Calibri"/>
          <w:lang w:eastAsia="en-US"/>
        </w:rPr>
        <w:t xml:space="preserve"> que, muitas vezes, não reúnem um público razoável de pessoas. </w:t>
      </w:r>
    </w:p>
    <w:p w14:paraId="0FFB68BA" w14:textId="4FD56D71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 xml:space="preserve">Em alguns casos, tais valores acabam servindo de fachada para lavagem de dinheiro e burla à </w:t>
      </w:r>
      <w:r w:rsidR="008A43E3">
        <w:rPr>
          <w:rFonts w:eastAsia="Calibri"/>
          <w:lang w:eastAsia="en-US"/>
        </w:rPr>
        <w:t>l</w:t>
      </w:r>
      <w:r w:rsidRPr="00280FF5">
        <w:rPr>
          <w:rFonts w:eastAsia="Calibri"/>
          <w:lang w:eastAsia="en-US"/>
        </w:rPr>
        <w:t>ei. </w:t>
      </w:r>
    </w:p>
    <w:p w14:paraId="3AED65C3" w14:textId="49D45B39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>A Administração Municipal pode, com base no art. 25, inc. III, da Lei Federal nº 8.666, de 21 de junho de 1993, declarar inexigível a licitação para casos de contratação de profissional de setor artístico que fique caracterizada a atividade personalíssima e que seja reconhecido pela crítica especializada e pela opinião pública.</w:t>
      </w:r>
    </w:p>
    <w:p w14:paraId="4065BA8A" w14:textId="77777777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>Contudo, diferentemente da Lei Federal nº 8.313, de 23 de dezembro de 1991 (conhecida como “Lei Rouanet”) e sua regulamentação mais recente, que estipulou teto e limite para captação e canalização de recursos para o setor artístico, os Municípios não se submetem a tal regime, podendo contratar diretamente. </w:t>
      </w:r>
    </w:p>
    <w:p w14:paraId="19B20BAA" w14:textId="407BEC9F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 xml:space="preserve">Frente a essa questão, o </w:t>
      </w:r>
      <w:r w:rsidR="002C7D0D">
        <w:rPr>
          <w:rFonts w:eastAsia="Calibri"/>
          <w:lang w:eastAsia="en-US"/>
        </w:rPr>
        <w:t>L</w:t>
      </w:r>
      <w:r w:rsidRPr="00280FF5">
        <w:rPr>
          <w:rFonts w:eastAsia="Calibri"/>
          <w:lang w:eastAsia="en-US"/>
        </w:rPr>
        <w:t xml:space="preserve">egislativo </w:t>
      </w:r>
      <w:r w:rsidR="002C7D0D">
        <w:rPr>
          <w:rFonts w:eastAsia="Calibri"/>
          <w:lang w:eastAsia="en-US"/>
        </w:rPr>
        <w:t>M</w:t>
      </w:r>
      <w:r w:rsidRPr="00280FF5">
        <w:rPr>
          <w:rFonts w:eastAsia="Calibri"/>
          <w:lang w:eastAsia="en-US"/>
        </w:rPr>
        <w:t>unicipal deve dar uma resposta à sociedade, demonstrando respeito ao dinheiro público.</w:t>
      </w:r>
    </w:p>
    <w:p w14:paraId="5E762FD4" w14:textId="77777777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>A matéria insere-se na competência dos municípios, haja vista a preponderância do interesse local, segundo o art. 30, inc. I, da CF/88.</w:t>
      </w:r>
    </w:p>
    <w:p w14:paraId="7715C542" w14:textId="6D316301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>Ainda, o assunto compreende como competência do Município para legislar, elencado no rol do art. 24, inc. IX, da CF/88, como direito à cultura, que tem por função regular a atividade artística e cultural no município, disciplinando as regras e adequações no território municipal. Sabe-se, ademais, que o rol do art. 24 da CF/88 aplica-se ao Município por força do art. 30, inc. II, da CF/88, pois cabe a ele suplementar a legislação federal e a estadual no que couber concorrentemente com a União, Estados e Distrito Federal, cada qual no exercício de suas atribuições e no âmbito de seus respectivos territórios (STF/ADPF nº 672).</w:t>
      </w:r>
    </w:p>
    <w:p w14:paraId="193D6EBD" w14:textId="2CAB46E3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 xml:space="preserve">É importante destacar que a </w:t>
      </w:r>
      <w:r w:rsidR="000E5977">
        <w:rPr>
          <w:rFonts w:eastAsia="Calibri"/>
          <w:lang w:eastAsia="en-US"/>
        </w:rPr>
        <w:t>P</w:t>
      </w:r>
      <w:r w:rsidRPr="00280FF5">
        <w:rPr>
          <w:rFonts w:eastAsia="Calibri"/>
          <w:lang w:eastAsia="en-US"/>
        </w:rPr>
        <w:t xml:space="preserve">roposição ora apresentada atende aos objetivos de incentivo à cultura local e ao pequeno artista, princípios e objetivos previstos nos </w:t>
      </w:r>
      <w:proofErr w:type="spellStart"/>
      <w:r w:rsidRPr="00280FF5">
        <w:rPr>
          <w:rFonts w:eastAsia="Calibri"/>
          <w:lang w:eastAsia="en-US"/>
        </w:rPr>
        <w:t>arts</w:t>
      </w:r>
      <w:proofErr w:type="spellEnd"/>
      <w:r w:rsidRPr="00280FF5">
        <w:rPr>
          <w:rFonts w:eastAsia="Calibri"/>
          <w:lang w:eastAsia="en-US"/>
        </w:rPr>
        <w:t>. 193 e 194 da Lei Orgânica do Município de Porto Alegre:</w:t>
      </w:r>
    </w:p>
    <w:p w14:paraId="64CE0294" w14:textId="77777777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> </w:t>
      </w:r>
    </w:p>
    <w:p w14:paraId="4E45D144" w14:textId="77777777" w:rsidR="00280FF5" w:rsidRPr="00725202" w:rsidRDefault="00280FF5" w:rsidP="00725202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725202">
        <w:rPr>
          <w:rFonts w:eastAsia="Calibri"/>
          <w:sz w:val="20"/>
          <w:szCs w:val="20"/>
          <w:lang w:eastAsia="en-US"/>
        </w:rPr>
        <w:t>Art. 193 O Município estimulará a cultura em suas múltiplas manifestações, garantindo o pleno e efetivo exercício dos respectivos direitos, bem como o acesso a suas fontes, apoiando e incentivando a produção, a valorização e a difusão das manifestações culturais, especialmente as de origem local e as relacionadas aos segmentos populares.</w:t>
      </w:r>
    </w:p>
    <w:p w14:paraId="5AF7B136" w14:textId="77777777" w:rsidR="004F5309" w:rsidRDefault="004F5309" w:rsidP="00725202">
      <w:pPr>
        <w:ind w:left="4253"/>
        <w:jc w:val="both"/>
        <w:rPr>
          <w:rFonts w:eastAsia="Calibri"/>
          <w:sz w:val="20"/>
          <w:szCs w:val="20"/>
          <w:lang w:eastAsia="en-US"/>
        </w:rPr>
      </w:pPr>
    </w:p>
    <w:p w14:paraId="6779EDF3" w14:textId="77777777" w:rsidR="00280FF5" w:rsidRPr="00725202" w:rsidRDefault="00280FF5" w:rsidP="00725202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725202">
        <w:rPr>
          <w:rFonts w:eastAsia="Calibri"/>
          <w:sz w:val="20"/>
          <w:szCs w:val="20"/>
          <w:lang w:eastAsia="en-US"/>
        </w:rPr>
        <w:t>Art. 194 O Município criará e apoiará mecanismos de preservação dos valores culturais das diversas etnias presentes em Porto Alegre, assegurando-lhes também a participação igualitária e pluralista nas atividades educacionais.</w:t>
      </w:r>
    </w:p>
    <w:p w14:paraId="6F922102" w14:textId="77777777" w:rsidR="000A4564" w:rsidRDefault="000A4564" w:rsidP="00280FF5">
      <w:pPr>
        <w:ind w:firstLine="1418"/>
        <w:jc w:val="both"/>
        <w:rPr>
          <w:rFonts w:eastAsia="Calibri"/>
          <w:lang w:eastAsia="en-US"/>
        </w:rPr>
      </w:pPr>
    </w:p>
    <w:p w14:paraId="4BAA71B9" w14:textId="41CB30F5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 xml:space="preserve">Ademais, a proposta não se insere como competência exclusiva do chefe do </w:t>
      </w:r>
      <w:r w:rsidR="000E5977">
        <w:rPr>
          <w:rFonts w:eastAsia="Calibri"/>
          <w:lang w:eastAsia="en-US"/>
        </w:rPr>
        <w:t>E</w:t>
      </w:r>
      <w:r w:rsidRPr="00280FF5">
        <w:rPr>
          <w:rFonts w:eastAsia="Calibri"/>
          <w:lang w:eastAsia="en-US"/>
        </w:rPr>
        <w:t>xecutivo, de modo a ferir o princípio da reserva da administração. </w:t>
      </w:r>
    </w:p>
    <w:p w14:paraId="64D99601" w14:textId="03D17C5E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 xml:space="preserve">O artigo 61, § 1º, cumulado com o artigo 29, ambos da Constituição Federal, é que dita a regra da iniciativa das leis conferida ao </w:t>
      </w:r>
      <w:r w:rsidR="000E5977">
        <w:rPr>
          <w:rFonts w:eastAsia="Calibri"/>
          <w:lang w:eastAsia="en-US"/>
        </w:rPr>
        <w:t>c</w:t>
      </w:r>
      <w:r w:rsidRPr="00280FF5">
        <w:rPr>
          <w:rFonts w:eastAsia="Calibri"/>
          <w:lang w:eastAsia="en-US"/>
        </w:rPr>
        <w:t xml:space="preserve">hefe do Poder Executivo, aplicado ao chefe do </w:t>
      </w:r>
      <w:r w:rsidR="000E5977">
        <w:rPr>
          <w:rFonts w:eastAsia="Calibri"/>
          <w:lang w:eastAsia="en-US"/>
        </w:rPr>
        <w:t>E</w:t>
      </w:r>
      <w:r w:rsidRPr="00280FF5">
        <w:rPr>
          <w:rFonts w:eastAsia="Calibri"/>
          <w:lang w:eastAsia="en-US"/>
        </w:rPr>
        <w:t xml:space="preserve">xecutivo </w:t>
      </w:r>
      <w:r w:rsidR="000E5977">
        <w:rPr>
          <w:rFonts w:eastAsia="Calibri"/>
          <w:lang w:eastAsia="en-US"/>
        </w:rPr>
        <w:t>M</w:t>
      </w:r>
      <w:r w:rsidRPr="00280FF5">
        <w:rPr>
          <w:rFonts w:eastAsia="Calibri"/>
          <w:lang w:eastAsia="en-US"/>
        </w:rPr>
        <w:t>unicipal pelo princípio da simetria. E são elas:</w:t>
      </w:r>
    </w:p>
    <w:p w14:paraId="0A5C8F5D" w14:textId="77777777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> </w:t>
      </w:r>
    </w:p>
    <w:p w14:paraId="1BF4A4F3" w14:textId="77777777" w:rsidR="00280FF5" w:rsidRPr="00725202" w:rsidRDefault="00280FF5" w:rsidP="00725202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725202">
        <w:rPr>
          <w:rFonts w:eastAsia="Calibri"/>
          <w:sz w:val="20"/>
          <w:szCs w:val="20"/>
          <w:lang w:eastAsia="en-US"/>
        </w:rPr>
        <w:lastRenderedPageBreak/>
        <w:t>a) criação de cargos, funções ou empregos na administração direta e autárquica ou aumento de sua remuneração; </w:t>
      </w:r>
    </w:p>
    <w:p w14:paraId="1368C0AB" w14:textId="77777777" w:rsidR="00280FF5" w:rsidRPr="00725202" w:rsidRDefault="00280FF5" w:rsidP="00725202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725202">
        <w:rPr>
          <w:rFonts w:eastAsia="Calibri"/>
          <w:sz w:val="20"/>
          <w:szCs w:val="20"/>
          <w:lang w:eastAsia="en-US"/>
        </w:rPr>
        <w:t>b) regime jurídico, provimento de cargos, estabilidade e aposentadoria dos servidores públicos;</w:t>
      </w:r>
    </w:p>
    <w:p w14:paraId="34B4110D" w14:textId="798B9ADD" w:rsidR="00280FF5" w:rsidRDefault="00280FF5" w:rsidP="000A4564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725202">
        <w:rPr>
          <w:rFonts w:eastAsia="Calibri"/>
          <w:sz w:val="20"/>
          <w:szCs w:val="20"/>
          <w:lang w:eastAsia="en-US"/>
        </w:rPr>
        <w:t>c) criação e extinção de secretarias e órgãos da administração pública.</w:t>
      </w:r>
    </w:p>
    <w:p w14:paraId="7BC11834" w14:textId="77777777" w:rsidR="000E5977" w:rsidRPr="00725202" w:rsidRDefault="000E5977" w:rsidP="00725202">
      <w:pPr>
        <w:ind w:left="4253"/>
        <w:jc w:val="both"/>
        <w:rPr>
          <w:rFonts w:eastAsia="Calibri"/>
          <w:sz w:val="20"/>
          <w:szCs w:val="20"/>
          <w:lang w:eastAsia="en-US"/>
        </w:rPr>
      </w:pPr>
    </w:p>
    <w:p w14:paraId="7AFEEAA6" w14:textId="169CE37D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 xml:space="preserve">Basta uma simples leitura do </w:t>
      </w:r>
      <w:r w:rsidR="001E7C49">
        <w:rPr>
          <w:rFonts w:eastAsia="Calibri"/>
          <w:lang w:eastAsia="en-US"/>
        </w:rPr>
        <w:t>P</w:t>
      </w:r>
      <w:r w:rsidRPr="00280FF5">
        <w:rPr>
          <w:rFonts w:eastAsia="Calibri"/>
          <w:lang w:eastAsia="en-US"/>
        </w:rPr>
        <w:t>rojeto para verificar que ele não cuida de nenhuma destas matérias. </w:t>
      </w:r>
    </w:p>
    <w:p w14:paraId="207CD4B9" w14:textId="13F1ED46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 xml:space="preserve">Observo, contudo, que o que gera muito debate nesta Casa Legislativa, mormente na CCJ, é o entendimento de inconstitucionalidade de </w:t>
      </w:r>
      <w:r w:rsidR="00680E85">
        <w:rPr>
          <w:rFonts w:eastAsia="Calibri"/>
          <w:lang w:eastAsia="en-US"/>
        </w:rPr>
        <w:t>P</w:t>
      </w:r>
      <w:r w:rsidRPr="00280FF5">
        <w:rPr>
          <w:rFonts w:eastAsia="Calibri"/>
          <w:lang w:eastAsia="en-US"/>
        </w:rPr>
        <w:t xml:space="preserve">roposições que prevejam determinadas ações administrativas, mobilizando </w:t>
      </w:r>
      <w:r w:rsidR="00680E85">
        <w:rPr>
          <w:rFonts w:eastAsia="Calibri"/>
          <w:lang w:eastAsia="en-US"/>
        </w:rPr>
        <w:t>s</w:t>
      </w:r>
      <w:r w:rsidRPr="00280FF5">
        <w:rPr>
          <w:rFonts w:eastAsia="Calibri"/>
          <w:lang w:eastAsia="en-US"/>
        </w:rPr>
        <w:t>ecretarias do Município, seus órgãos e servidores.</w:t>
      </w:r>
    </w:p>
    <w:p w14:paraId="6FF97EC4" w14:textId="43285D3D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 xml:space="preserve">Contudo, esse princípio não está bem definido pela doutrina e jurisprudência, mas sobre ele o Supremo Tribunal Federal já </w:t>
      </w:r>
      <w:r w:rsidR="00695708" w:rsidRPr="00280FF5">
        <w:rPr>
          <w:rFonts w:eastAsia="Calibri"/>
          <w:lang w:eastAsia="en-US"/>
        </w:rPr>
        <w:t>se debruçou</w:t>
      </w:r>
      <w:r w:rsidRPr="00280FF5">
        <w:rPr>
          <w:rFonts w:eastAsia="Calibri"/>
          <w:lang w:eastAsia="en-US"/>
        </w:rPr>
        <w:t>, cito o julgamento com Repercussão Geral Reconhecida, ARE nº 878911, relator Min. Gilmar Mendes, cuja ementa segue abaixo:</w:t>
      </w:r>
    </w:p>
    <w:p w14:paraId="518122EF" w14:textId="77777777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> </w:t>
      </w:r>
    </w:p>
    <w:p w14:paraId="6225FCDE" w14:textId="77777777" w:rsidR="00280FF5" w:rsidRPr="00725202" w:rsidRDefault="00280FF5" w:rsidP="00725202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725202">
        <w:rPr>
          <w:rFonts w:eastAsia="Calibri"/>
          <w:sz w:val="20"/>
          <w:szCs w:val="20"/>
          <w:lang w:eastAsia="en-US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Não usurpa a competência privativa do chefe do Poder Executivo lei que, embora crie despesa para a Administração Pública, não trata da sua estrutura ou da atribuição de seus órgãos nem do regime jurídico de servidores públicos. 4. Repercussão geral reconhecida com </w:t>
      </w:r>
      <w:proofErr w:type="spellStart"/>
      <w:r w:rsidRPr="00725202">
        <w:rPr>
          <w:rFonts w:eastAsia="Calibri"/>
          <w:sz w:val="20"/>
          <w:szCs w:val="20"/>
          <w:lang w:eastAsia="en-US"/>
        </w:rPr>
        <w:t>reaﬁrmação</w:t>
      </w:r>
      <w:proofErr w:type="spellEnd"/>
      <w:r w:rsidRPr="00725202">
        <w:rPr>
          <w:rFonts w:eastAsia="Calibri"/>
          <w:sz w:val="20"/>
          <w:szCs w:val="20"/>
          <w:lang w:eastAsia="en-US"/>
        </w:rPr>
        <w:t xml:space="preserve"> da jurisprudência desta Corte. 5. Recurso extraordinário provido. (ARE 878911 RG, Relator(a): Min. GILMAR MENDES, julgado em 29/09/2016, PROCESSO ELETRÔNICO REPERCUSSÃO GERAL - MÉRITO DJe-217 DIVULG 10-10-2016 PUBLIC 11-10-2016)</w:t>
      </w:r>
    </w:p>
    <w:p w14:paraId="6662CCE1" w14:textId="77777777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> </w:t>
      </w:r>
    </w:p>
    <w:p w14:paraId="775AB3B8" w14:textId="3CD4C185" w:rsidR="00280FF5" w:rsidRPr="00280FF5" w:rsidRDefault="00280FF5" w:rsidP="00280FF5">
      <w:pPr>
        <w:ind w:firstLine="1418"/>
        <w:jc w:val="both"/>
        <w:rPr>
          <w:rFonts w:eastAsia="Calibri"/>
          <w:lang w:eastAsia="en-US"/>
        </w:rPr>
      </w:pPr>
      <w:r w:rsidRPr="00280FF5">
        <w:rPr>
          <w:rFonts w:eastAsia="Calibri"/>
          <w:lang w:eastAsia="en-US"/>
        </w:rPr>
        <w:t>Dessa forma, reque</w:t>
      </w:r>
      <w:r w:rsidR="000A4564">
        <w:rPr>
          <w:rFonts w:eastAsia="Calibri"/>
          <w:lang w:eastAsia="en-US"/>
        </w:rPr>
        <w:t>iro</w:t>
      </w:r>
      <w:r w:rsidRPr="00280FF5">
        <w:rPr>
          <w:rFonts w:eastAsia="Calibri"/>
          <w:lang w:eastAsia="en-US"/>
        </w:rPr>
        <w:t xml:space="preserve"> a aprovação d</w:t>
      </w:r>
      <w:r w:rsidR="000A4564">
        <w:rPr>
          <w:rFonts w:eastAsia="Calibri"/>
          <w:lang w:eastAsia="en-US"/>
        </w:rPr>
        <w:t>esta</w:t>
      </w:r>
      <w:r w:rsidRPr="00280FF5">
        <w:rPr>
          <w:rFonts w:eastAsia="Calibri"/>
          <w:lang w:eastAsia="en-US"/>
        </w:rPr>
        <w:t xml:space="preserve"> </w:t>
      </w:r>
      <w:r w:rsidR="000A4564">
        <w:rPr>
          <w:rFonts w:eastAsia="Calibri"/>
          <w:lang w:eastAsia="en-US"/>
        </w:rPr>
        <w:t>P</w:t>
      </w:r>
      <w:r w:rsidRPr="00280FF5">
        <w:rPr>
          <w:rFonts w:eastAsia="Calibri"/>
          <w:lang w:eastAsia="en-US"/>
        </w:rPr>
        <w:t>roposição pelos nobres edis. </w:t>
      </w:r>
    </w:p>
    <w:p w14:paraId="6D0B00FC" w14:textId="77777777" w:rsidR="007032C3" w:rsidRPr="00640F90" w:rsidRDefault="007032C3" w:rsidP="007032C3">
      <w:pPr>
        <w:ind w:firstLine="1418"/>
        <w:jc w:val="both"/>
        <w:rPr>
          <w:rFonts w:eastAsia="Calibri"/>
          <w:lang w:eastAsia="en-US"/>
        </w:rPr>
      </w:pPr>
    </w:p>
    <w:p w14:paraId="41E7CD59" w14:textId="4F7002E2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280FF5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de </w:t>
      </w:r>
      <w:r w:rsidR="00280FF5">
        <w:rPr>
          <w:rFonts w:eastAsia="Calibri"/>
          <w:lang w:eastAsia="en-US"/>
        </w:rPr>
        <w:t xml:space="preserve">junho </w:t>
      </w:r>
      <w:r w:rsidR="001267BD">
        <w:rPr>
          <w:rFonts w:eastAsia="Calibri"/>
          <w:lang w:eastAsia="en-US"/>
        </w:rPr>
        <w:t>de 202</w:t>
      </w:r>
      <w:r w:rsidR="007032C3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</w:t>
      </w: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A80B749" w14:textId="77777777" w:rsidR="0004366E" w:rsidRDefault="0004366E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19E80D65" w:rsidR="00836FD6" w:rsidRDefault="00C27B67">
      <w:pPr>
        <w:jc w:val="center"/>
      </w:pPr>
      <w:r>
        <w:rPr>
          <w:rFonts w:eastAsia="Calibri"/>
          <w:lang w:eastAsia="en-US"/>
        </w:rPr>
        <w:t xml:space="preserve">VEREADOR </w:t>
      </w:r>
      <w:r w:rsidR="00117E93">
        <w:rPr>
          <w:rFonts w:eastAsia="Calibri"/>
          <w:lang w:eastAsia="en-US"/>
        </w:rPr>
        <w:t>JESSÉ SANGALLI</w:t>
      </w:r>
      <w:r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3807295F" w14:textId="28F4988A" w:rsidR="00836FD6" w:rsidRPr="00280FF5" w:rsidRDefault="008F6F47" w:rsidP="00640F90">
      <w:pPr>
        <w:ind w:left="4253"/>
        <w:jc w:val="both"/>
        <w:rPr>
          <w:b/>
        </w:rPr>
      </w:pPr>
      <w:r w:rsidRPr="008F6F47">
        <w:rPr>
          <w:b/>
        </w:rPr>
        <w:t>Fica instituído limite orçamentário para contratação de atividades artísticas e culturais de qualquer gênero pel</w:t>
      </w:r>
      <w:r w:rsidR="00E30D66">
        <w:rPr>
          <w:b/>
        </w:rPr>
        <w:t>a</w:t>
      </w:r>
      <w:r w:rsidRPr="008F6F47">
        <w:rPr>
          <w:b/>
        </w:rPr>
        <w:t xml:space="preserve"> </w:t>
      </w:r>
      <w:r w:rsidR="00E30D66">
        <w:rPr>
          <w:b/>
        </w:rPr>
        <w:t>Administração Pública</w:t>
      </w:r>
      <w:r w:rsidRPr="008F6F47">
        <w:rPr>
          <w:b/>
        </w:rPr>
        <w:t>.</w:t>
      </w:r>
    </w:p>
    <w:p w14:paraId="05CAFF07" w14:textId="751877B5" w:rsidR="00836FD6" w:rsidRDefault="00836FD6">
      <w:pPr>
        <w:jc w:val="center"/>
      </w:pPr>
    </w:p>
    <w:p w14:paraId="46B543BA" w14:textId="77777777" w:rsidR="00640F90" w:rsidRDefault="00640F90">
      <w:pPr>
        <w:jc w:val="center"/>
      </w:pPr>
    </w:p>
    <w:p w14:paraId="5F62BAA3" w14:textId="486ADA14" w:rsidR="00280FF5" w:rsidRDefault="00C27B67" w:rsidP="00280FF5">
      <w:pPr>
        <w:ind w:firstLine="1418"/>
        <w:jc w:val="both"/>
      </w:pPr>
      <w:r w:rsidRPr="00D167BA">
        <w:rPr>
          <w:b/>
        </w:rPr>
        <w:t>Art. 1</w:t>
      </w:r>
      <w:proofErr w:type="gramStart"/>
      <w:r w:rsidR="002418E0">
        <w:rPr>
          <w:b/>
        </w:rPr>
        <w:t>º</w:t>
      </w:r>
      <w:r w:rsidRPr="00D167BA">
        <w:t xml:space="preserve">  </w:t>
      </w:r>
      <w:r w:rsidR="00280FF5">
        <w:t>Fica</w:t>
      </w:r>
      <w:proofErr w:type="gramEnd"/>
      <w:r w:rsidR="00280FF5">
        <w:t xml:space="preserve"> instituído limite orçamentário para contratação de atividades artísticas e culturais de qualquer gênero pel</w:t>
      </w:r>
      <w:r w:rsidR="00FD5454">
        <w:t>a Administração Pública</w:t>
      </w:r>
      <w:r w:rsidR="00280FF5">
        <w:t>.</w:t>
      </w:r>
    </w:p>
    <w:p w14:paraId="60865BA2" w14:textId="77777777" w:rsidR="00280FF5" w:rsidRDefault="00280FF5" w:rsidP="00280FF5">
      <w:pPr>
        <w:ind w:firstLine="1418"/>
        <w:jc w:val="both"/>
      </w:pPr>
    </w:p>
    <w:p w14:paraId="7E8010A4" w14:textId="2984DEDC" w:rsidR="009D14B0" w:rsidRPr="002A7BAF" w:rsidRDefault="00280FF5" w:rsidP="00280FF5">
      <w:pPr>
        <w:ind w:firstLine="1418"/>
        <w:jc w:val="both"/>
      </w:pPr>
      <w:r w:rsidRPr="00570E94">
        <w:rPr>
          <w:b/>
          <w:bCs/>
        </w:rPr>
        <w:t>Art. 2</w:t>
      </w:r>
      <w:proofErr w:type="gramStart"/>
      <w:r w:rsidRPr="00570E94">
        <w:rPr>
          <w:b/>
          <w:bCs/>
        </w:rPr>
        <w:t>º</w:t>
      </w:r>
      <w:r w:rsidR="007F1247" w:rsidRPr="00570E94">
        <w:t xml:space="preserve"> </w:t>
      </w:r>
      <w:r w:rsidRPr="00570E94">
        <w:t xml:space="preserve"> </w:t>
      </w:r>
      <w:r w:rsidR="009D14B0" w:rsidRPr="002A7BAF">
        <w:t>Para</w:t>
      </w:r>
      <w:proofErr w:type="gramEnd"/>
      <w:r w:rsidR="009D14B0" w:rsidRPr="002A7BAF">
        <w:t xml:space="preserve"> os fins desta Lei, serão observados os seguintes limites</w:t>
      </w:r>
      <w:r w:rsidR="007C2F92" w:rsidRPr="002A7BAF">
        <w:t xml:space="preserve"> </w:t>
      </w:r>
      <w:r w:rsidR="00CA34B1" w:rsidRPr="002A7BAF">
        <w:t>orçamentários</w:t>
      </w:r>
      <w:r w:rsidR="009D14B0" w:rsidRPr="002A7BAF">
        <w:t>:</w:t>
      </w:r>
    </w:p>
    <w:p w14:paraId="6CF5ABB7" w14:textId="77777777" w:rsidR="000677CF" w:rsidRPr="002A7BAF" w:rsidRDefault="000677CF" w:rsidP="00280FF5">
      <w:pPr>
        <w:ind w:firstLine="1418"/>
        <w:jc w:val="both"/>
      </w:pPr>
    </w:p>
    <w:p w14:paraId="5D27EA81" w14:textId="2561F74C" w:rsidR="000677CF" w:rsidRPr="002A7BAF" w:rsidRDefault="000677CF" w:rsidP="000677CF">
      <w:pPr>
        <w:ind w:firstLine="1418"/>
        <w:jc w:val="both"/>
      </w:pPr>
      <w:r w:rsidRPr="002A7BAF">
        <w:t xml:space="preserve">I – </w:t>
      </w:r>
      <w:proofErr w:type="gramStart"/>
      <w:r w:rsidR="009D14B0" w:rsidRPr="002A7BAF">
        <w:t>para</w:t>
      </w:r>
      <w:proofErr w:type="gramEnd"/>
      <w:r w:rsidR="009D14B0" w:rsidRPr="002A7BAF">
        <w:t xml:space="preserve"> a remuneração de atividades artísticas, individuais ou de grupos:</w:t>
      </w:r>
    </w:p>
    <w:p w14:paraId="35F53728" w14:textId="77777777" w:rsidR="009D14B0" w:rsidRPr="002A7BAF" w:rsidRDefault="009D14B0" w:rsidP="000677CF">
      <w:pPr>
        <w:ind w:firstLine="1418"/>
        <w:jc w:val="both"/>
      </w:pPr>
    </w:p>
    <w:p w14:paraId="2D4EF360" w14:textId="1303C9E2" w:rsidR="009D14B0" w:rsidRPr="002A7BAF" w:rsidRDefault="009D14B0" w:rsidP="000677CF">
      <w:pPr>
        <w:ind w:firstLine="1418"/>
        <w:jc w:val="both"/>
      </w:pPr>
      <w:r w:rsidRPr="002A7BAF">
        <w:t xml:space="preserve">a) </w:t>
      </w:r>
      <w:r w:rsidR="007C2F92" w:rsidRPr="002A7BAF">
        <w:t>o subsídio mensal do secretário municipal de cultura, por dia de apresentação; e</w:t>
      </w:r>
    </w:p>
    <w:p w14:paraId="5973F8D3" w14:textId="77777777" w:rsidR="007C2F92" w:rsidRPr="002A7BAF" w:rsidRDefault="007C2F92" w:rsidP="000677CF">
      <w:pPr>
        <w:ind w:firstLine="1418"/>
        <w:jc w:val="both"/>
      </w:pPr>
    </w:p>
    <w:p w14:paraId="77D25135" w14:textId="69665D62" w:rsidR="007C2F92" w:rsidRPr="002A7BAF" w:rsidRDefault="007C2F92" w:rsidP="000677CF">
      <w:pPr>
        <w:ind w:firstLine="1418"/>
        <w:jc w:val="both"/>
      </w:pPr>
      <w:r w:rsidRPr="002A7BAF">
        <w:t>b) em caso de múltiplas contratações, o duodécuplo do subsídio do secretário municipal de cultura pelo contrato anual; e</w:t>
      </w:r>
    </w:p>
    <w:p w14:paraId="60553F50" w14:textId="77777777" w:rsidR="007C2F92" w:rsidRPr="002A7BAF" w:rsidRDefault="007C2F92" w:rsidP="000677CF">
      <w:pPr>
        <w:ind w:firstLine="1418"/>
        <w:jc w:val="both"/>
      </w:pPr>
    </w:p>
    <w:p w14:paraId="3639C6CA" w14:textId="3251A1FC" w:rsidR="007C2F92" w:rsidRPr="002A7BAF" w:rsidRDefault="007C2F92" w:rsidP="007C2F92">
      <w:pPr>
        <w:ind w:firstLine="1418"/>
        <w:jc w:val="both"/>
      </w:pPr>
      <w:r w:rsidRPr="002A7BAF">
        <w:t xml:space="preserve">II – </w:t>
      </w:r>
      <w:proofErr w:type="gramStart"/>
      <w:r w:rsidRPr="002A7BAF">
        <w:t>para</w:t>
      </w:r>
      <w:proofErr w:type="gramEnd"/>
      <w:r w:rsidRPr="002A7BAF">
        <w:t xml:space="preserve"> a remuneração da equipe técnica, </w:t>
      </w:r>
      <w:r w:rsidR="00A4521B" w:rsidRPr="002A7BAF">
        <w:t xml:space="preserve">do </w:t>
      </w:r>
      <w:r w:rsidRPr="002A7BAF">
        <w:t xml:space="preserve">material, </w:t>
      </w:r>
      <w:r w:rsidR="00A4521B" w:rsidRPr="002A7BAF">
        <w:t xml:space="preserve">da </w:t>
      </w:r>
      <w:r w:rsidRPr="002A7BAF">
        <w:t xml:space="preserve">promoção, </w:t>
      </w:r>
      <w:r w:rsidR="00A4521B" w:rsidRPr="002A7BAF">
        <w:t xml:space="preserve">da </w:t>
      </w:r>
      <w:r w:rsidRPr="002A7BAF">
        <w:t xml:space="preserve">locação e </w:t>
      </w:r>
      <w:r w:rsidR="00A4521B" w:rsidRPr="002A7BAF">
        <w:t xml:space="preserve">da </w:t>
      </w:r>
      <w:r w:rsidRPr="002A7BAF">
        <w:t>estrutura:</w:t>
      </w:r>
    </w:p>
    <w:p w14:paraId="528F61F5" w14:textId="77777777" w:rsidR="007C2F92" w:rsidRPr="002A7BAF" w:rsidRDefault="007C2F92" w:rsidP="007C2F92">
      <w:pPr>
        <w:ind w:firstLine="1418"/>
        <w:jc w:val="both"/>
      </w:pPr>
    </w:p>
    <w:p w14:paraId="669E8808" w14:textId="15810E06" w:rsidR="007C2F92" w:rsidRPr="002A7BAF" w:rsidRDefault="007C2F92" w:rsidP="007C2F92">
      <w:pPr>
        <w:ind w:firstLine="1418"/>
        <w:jc w:val="both"/>
      </w:pPr>
      <w:r w:rsidRPr="002A7BAF">
        <w:t>a) o duodécuplo do subsídio líquido do secretário municipal de cultura por dia de apresentação; e</w:t>
      </w:r>
    </w:p>
    <w:p w14:paraId="404890DA" w14:textId="77777777" w:rsidR="007C2F92" w:rsidRPr="002A7BAF" w:rsidRDefault="007C2F92" w:rsidP="007C2F92">
      <w:pPr>
        <w:ind w:firstLine="1418"/>
        <w:jc w:val="both"/>
      </w:pPr>
    </w:p>
    <w:p w14:paraId="37FC2A79" w14:textId="1719730A" w:rsidR="007C2F92" w:rsidRDefault="007C2F92" w:rsidP="007C2F92">
      <w:pPr>
        <w:ind w:firstLine="1418"/>
        <w:jc w:val="both"/>
      </w:pPr>
      <w:r w:rsidRPr="002A7BAF">
        <w:t xml:space="preserve">b) em caso de múltiplas contratações, </w:t>
      </w:r>
      <w:r w:rsidR="00A4521B" w:rsidRPr="002A7BAF">
        <w:t xml:space="preserve">12 (doze) vezes </w:t>
      </w:r>
      <w:r w:rsidRPr="002A7BAF">
        <w:t>o duodécuplo do subsídio do secretário municipal de cultura pelo contrato anual.</w:t>
      </w:r>
      <w:r>
        <w:t xml:space="preserve"> </w:t>
      </w:r>
    </w:p>
    <w:p w14:paraId="3AE9C201" w14:textId="34C46CCB" w:rsidR="007C2F92" w:rsidRDefault="007C2F92" w:rsidP="007C2F92">
      <w:pPr>
        <w:ind w:firstLine="1418"/>
        <w:jc w:val="both"/>
      </w:pPr>
    </w:p>
    <w:p w14:paraId="156F7373" w14:textId="1A6AE22F" w:rsidR="00280FF5" w:rsidRDefault="002F5044" w:rsidP="00280FF5">
      <w:pPr>
        <w:ind w:firstLine="1418"/>
        <w:jc w:val="both"/>
      </w:pPr>
      <w:r>
        <w:rPr>
          <w:b/>
          <w:bCs/>
        </w:rPr>
        <w:t>§ 1</w:t>
      </w:r>
      <w:proofErr w:type="gramStart"/>
      <w:r>
        <w:rPr>
          <w:b/>
          <w:bCs/>
        </w:rPr>
        <w:t>º</w:t>
      </w:r>
      <w:r w:rsidR="007F1247">
        <w:t xml:space="preserve"> </w:t>
      </w:r>
      <w:r w:rsidR="00280FF5">
        <w:t xml:space="preserve"> Os</w:t>
      </w:r>
      <w:proofErr w:type="gramEnd"/>
      <w:r w:rsidR="00280FF5">
        <w:t xml:space="preserve"> limites previstos neste artigo referem-se à execução orçamentária pel</w:t>
      </w:r>
      <w:r w:rsidR="00FD5454">
        <w:t>a</w:t>
      </w:r>
      <w:r w:rsidR="00280FF5">
        <w:t xml:space="preserve"> </w:t>
      </w:r>
      <w:r w:rsidR="00FD5454">
        <w:t>Administração Pública</w:t>
      </w:r>
      <w:r w:rsidR="00280FF5">
        <w:t>, podendo, no caso de subvenção ou patrocínio privado, ser complementada por este último.</w:t>
      </w:r>
    </w:p>
    <w:p w14:paraId="65C4AFC1" w14:textId="77777777" w:rsidR="00280FF5" w:rsidRDefault="00280FF5" w:rsidP="00280FF5">
      <w:pPr>
        <w:ind w:firstLine="1418"/>
        <w:jc w:val="both"/>
      </w:pPr>
    </w:p>
    <w:p w14:paraId="45975B46" w14:textId="714E76B5" w:rsidR="00280FF5" w:rsidRDefault="002F5044" w:rsidP="00280FF5">
      <w:pPr>
        <w:ind w:firstLine="1418"/>
        <w:jc w:val="both"/>
      </w:pPr>
      <w:r>
        <w:rPr>
          <w:b/>
          <w:bCs/>
        </w:rPr>
        <w:t>§ 2</w:t>
      </w:r>
      <w:proofErr w:type="gramStart"/>
      <w:r>
        <w:rPr>
          <w:b/>
          <w:bCs/>
        </w:rPr>
        <w:t>º</w:t>
      </w:r>
      <w:r w:rsidR="007F1247">
        <w:t xml:space="preserve"> </w:t>
      </w:r>
      <w:r w:rsidR="00280FF5">
        <w:t xml:space="preserve"> </w:t>
      </w:r>
      <w:r w:rsidR="004378A1">
        <w:t>No</w:t>
      </w:r>
      <w:proofErr w:type="gramEnd"/>
      <w:r w:rsidR="004378A1">
        <w:t xml:space="preserve"> caso de</w:t>
      </w:r>
      <w:r w:rsidR="00280FF5">
        <w:t xml:space="preserve"> pequeno artista, </w:t>
      </w:r>
      <w:r w:rsidR="004D0061">
        <w:t xml:space="preserve">considerado </w:t>
      </w:r>
      <w:r w:rsidR="00280FF5">
        <w:t>aquele que se enquadre nas regras do art. 18-A da Lei Complementar nº 123, de 14 de dezembro de 2006, sujeitar-se-á ao</w:t>
      </w:r>
      <w:r w:rsidR="004D0061">
        <w:t>s</w:t>
      </w:r>
      <w:r w:rsidR="00280FF5">
        <w:t xml:space="preserve"> limite</w:t>
      </w:r>
      <w:r w:rsidR="004D0061">
        <w:t>s</w:t>
      </w:r>
      <w:r w:rsidR="00280FF5">
        <w:t xml:space="preserve"> estabelecido</w:t>
      </w:r>
      <w:r w:rsidR="004D0061">
        <w:t>s</w:t>
      </w:r>
      <w:r w:rsidR="00280FF5">
        <w:t xml:space="preserve"> </w:t>
      </w:r>
      <w:r>
        <w:t>neste artigo</w:t>
      </w:r>
      <w:r w:rsidR="004D0061">
        <w:t>,</w:t>
      </w:r>
      <w:r w:rsidR="00280FF5">
        <w:t xml:space="preserve"> majorando-se o teto para o </w:t>
      </w:r>
      <w:r w:rsidR="004D0061">
        <w:t>subsídio</w:t>
      </w:r>
      <w:r w:rsidR="00280FF5">
        <w:t xml:space="preserve"> de prefeito municipal.</w:t>
      </w:r>
    </w:p>
    <w:p w14:paraId="6A2CE899" w14:textId="57E436AF" w:rsidR="00F75546" w:rsidRDefault="00F75546" w:rsidP="00280FF5">
      <w:pPr>
        <w:ind w:firstLine="1418"/>
        <w:jc w:val="both"/>
      </w:pPr>
    </w:p>
    <w:p w14:paraId="16FA4EA8" w14:textId="5CB9E992" w:rsidR="00280FF5" w:rsidRDefault="00280FF5" w:rsidP="00280FF5">
      <w:pPr>
        <w:ind w:firstLine="1418"/>
        <w:jc w:val="both"/>
      </w:pPr>
      <w:r w:rsidRPr="007F1247">
        <w:rPr>
          <w:b/>
          <w:bCs/>
        </w:rPr>
        <w:t xml:space="preserve">Art. </w:t>
      </w:r>
      <w:r w:rsidR="002F5044">
        <w:rPr>
          <w:b/>
          <w:bCs/>
        </w:rPr>
        <w:t>3</w:t>
      </w:r>
      <w:proofErr w:type="gramStart"/>
      <w:r w:rsidRPr="007F1247">
        <w:rPr>
          <w:b/>
          <w:bCs/>
        </w:rPr>
        <w:t>º</w:t>
      </w:r>
      <w:r w:rsidR="007F1247">
        <w:t xml:space="preserve"> </w:t>
      </w:r>
      <w:r>
        <w:t xml:space="preserve"> </w:t>
      </w:r>
      <w:r w:rsidR="00064B7E">
        <w:t>Esta</w:t>
      </w:r>
      <w:proofErr w:type="gramEnd"/>
      <w:r w:rsidR="00064B7E">
        <w:t xml:space="preserve"> L</w:t>
      </w:r>
      <w:r>
        <w:t xml:space="preserve">ei aplica-se às execuções dos seguintes </w:t>
      </w:r>
      <w:r w:rsidR="00064B7E">
        <w:t>F</w:t>
      </w:r>
      <w:r>
        <w:t xml:space="preserve">undos e </w:t>
      </w:r>
      <w:r w:rsidR="00064B7E">
        <w:t>à</w:t>
      </w:r>
      <w:r w:rsidR="004C59D2">
        <w:t>s</w:t>
      </w:r>
      <w:r w:rsidR="00064B7E">
        <w:t xml:space="preserve"> de </w:t>
      </w:r>
      <w:r>
        <w:t xml:space="preserve">outros </w:t>
      </w:r>
      <w:r w:rsidR="00B64D61">
        <w:t xml:space="preserve">ligados à temática da cultura </w:t>
      </w:r>
      <w:r>
        <w:t>que possam vir a ser criados:</w:t>
      </w:r>
    </w:p>
    <w:p w14:paraId="7E283CDC" w14:textId="77777777" w:rsidR="00280FF5" w:rsidRDefault="00280FF5" w:rsidP="00280FF5">
      <w:pPr>
        <w:ind w:firstLine="1418"/>
        <w:jc w:val="both"/>
      </w:pPr>
    </w:p>
    <w:p w14:paraId="68B3B609" w14:textId="07DD4474" w:rsidR="00280FF5" w:rsidRDefault="00280FF5" w:rsidP="00280FF5">
      <w:pPr>
        <w:ind w:firstLine="1418"/>
        <w:jc w:val="both"/>
      </w:pPr>
      <w:r>
        <w:t xml:space="preserve">I </w:t>
      </w:r>
      <w:r w:rsidR="007F1247">
        <w:t>–</w:t>
      </w:r>
      <w:r>
        <w:t xml:space="preserve"> Lei 7.328, 4 de outubro de 1993 (</w:t>
      </w:r>
      <w:proofErr w:type="spellStart"/>
      <w:r w:rsidR="007E4A96">
        <w:t>Fumproarte</w:t>
      </w:r>
      <w:proofErr w:type="spellEnd"/>
      <w:r>
        <w:t xml:space="preserve">); </w:t>
      </w:r>
    </w:p>
    <w:p w14:paraId="515B69AF" w14:textId="77777777" w:rsidR="00280FF5" w:rsidRDefault="00280FF5" w:rsidP="00280FF5">
      <w:pPr>
        <w:ind w:firstLine="1418"/>
        <w:jc w:val="both"/>
      </w:pPr>
    </w:p>
    <w:p w14:paraId="3AF2466D" w14:textId="4E97C1C0" w:rsidR="00280FF5" w:rsidRDefault="00280FF5" w:rsidP="00280FF5">
      <w:pPr>
        <w:ind w:firstLine="1418"/>
        <w:jc w:val="both"/>
      </w:pPr>
      <w:r>
        <w:t xml:space="preserve">II </w:t>
      </w:r>
      <w:r w:rsidR="007F1247">
        <w:t>–</w:t>
      </w:r>
      <w:r>
        <w:t xml:space="preserve"> Lei 4.349, de 30 de novembro de 1977 (</w:t>
      </w:r>
      <w:proofErr w:type="spellStart"/>
      <w:r w:rsidR="007E4A96">
        <w:t>Fumpahc</w:t>
      </w:r>
      <w:proofErr w:type="spellEnd"/>
      <w:r>
        <w:t>);</w:t>
      </w:r>
      <w:r w:rsidR="007F1247">
        <w:t xml:space="preserve"> e</w:t>
      </w:r>
    </w:p>
    <w:p w14:paraId="7B8493FE" w14:textId="77777777" w:rsidR="00280FF5" w:rsidRDefault="00280FF5" w:rsidP="00280FF5">
      <w:pPr>
        <w:ind w:firstLine="1418"/>
        <w:jc w:val="both"/>
      </w:pPr>
    </w:p>
    <w:p w14:paraId="04DAEC95" w14:textId="2EF0B1A7" w:rsidR="007032C3" w:rsidRDefault="00280FF5" w:rsidP="00280FF5">
      <w:pPr>
        <w:ind w:firstLine="1418"/>
        <w:jc w:val="both"/>
      </w:pPr>
      <w:r>
        <w:t xml:space="preserve">III </w:t>
      </w:r>
      <w:r w:rsidR="007F1247">
        <w:t>–</w:t>
      </w:r>
      <w:r>
        <w:t xml:space="preserve"> Lei 6.099, de 3 de fevereiro de 1988 (</w:t>
      </w:r>
      <w:proofErr w:type="spellStart"/>
      <w:r w:rsidR="007E4A96">
        <w:t>Funcultura</w:t>
      </w:r>
      <w:proofErr w:type="spellEnd"/>
      <w:r>
        <w:t>)</w:t>
      </w:r>
      <w:r w:rsidR="007F1247">
        <w:t>.</w:t>
      </w:r>
    </w:p>
    <w:p w14:paraId="3C66EB7B" w14:textId="77777777" w:rsidR="007F1247" w:rsidRDefault="007F1247" w:rsidP="00280FF5">
      <w:pPr>
        <w:ind w:firstLine="1418"/>
        <w:jc w:val="both"/>
      </w:pPr>
    </w:p>
    <w:p w14:paraId="3AAC4D95" w14:textId="42E9BB65" w:rsidR="008111E6" w:rsidRDefault="00B7327F" w:rsidP="00B7327F">
      <w:pPr>
        <w:ind w:firstLine="1418"/>
        <w:jc w:val="both"/>
      </w:pPr>
      <w:r w:rsidRPr="00B7327F">
        <w:rPr>
          <w:b/>
        </w:rPr>
        <w:t xml:space="preserve">Art. </w:t>
      </w:r>
      <w:r w:rsidR="002F5044">
        <w:rPr>
          <w:b/>
        </w:rPr>
        <w:t>4</w:t>
      </w:r>
      <w:proofErr w:type="gramStart"/>
      <w:r w:rsidRPr="00B7327F">
        <w:rPr>
          <w:b/>
        </w:rPr>
        <w:t>º</w:t>
      </w:r>
      <w:r>
        <w:t xml:space="preserve">  Esta</w:t>
      </w:r>
      <w:proofErr w:type="gramEnd"/>
      <w:r>
        <w:t xml:space="preserve"> Lei entra em vigor </w:t>
      </w:r>
      <w:r w:rsidR="00640F90">
        <w:t>n</w:t>
      </w:r>
      <w:r>
        <w:t>a data de sua publicação.</w:t>
      </w:r>
    </w:p>
    <w:p w14:paraId="1BC6FB58" w14:textId="3BA516CA" w:rsidR="00F75546" w:rsidRDefault="00F75546" w:rsidP="00B7327F">
      <w:pPr>
        <w:ind w:firstLine="1418"/>
        <w:jc w:val="both"/>
      </w:pPr>
    </w:p>
    <w:p w14:paraId="47682996" w14:textId="0210300B" w:rsidR="00F75546" w:rsidRDefault="00F75546" w:rsidP="00B7327F">
      <w:pPr>
        <w:ind w:firstLine="1418"/>
        <w:jc w:val="both"/>
      </w:pPr>
    </w:p>
    <w:p w14:paraId="420FD396" w14:textId="7435072B" w:rsidR="00F75546" w:rsidRDefault="00F75546" w:rsidP="00B7327F">
      <w:pPr>
        <w:ind w:firstLine="1418"/>
        <w:jc w:val="both"/>
      </w:pPr>
    </w:p>
    <w:p w14:paraId="3161001F" w14:textId="77777777" w:rsidR="00F75546" w:rsidRDefault="00F75546" w:rsidP="00B7327F">
      <w:pPr>
        <w:ind w:firstLine="1418"/>
        <w:jc w:val="both"/>
      </w:pPr>
    </w:p>
    <w:p w14:paraId="449009CF" w14:textId="5ADD6092" w:rsidR="007032C3" w:rsidRDefault="007032C3" w:rsidP="00A16FFA">
      <w:pPr>
        <w:jc w:val="both"/>
      </w:pPr>
    </w:p>
    <w:p w14:paraId="79CE9E79" w14:textId="78F8A8EE" w:rsidR="007032C3" w:rsidRPr="007032C3" w:rsidRDefault="007032C3" w:rsidP="00A16FFA">
      <w:pPr>
        <w:jc w:val="both"/>
        <w:rPr>
          <w:sz w:val="20"/>
          <w:szCs w:val="20"/>
        </w:rPr>
      </w:pPr>
      <w:r w:rsidRPr="007032C3">
        <w:rPr>
          <w:sz w:val="20"/>
          <w:szCs w:val="20"/>
        </w:rPr>
        <w:t>/TAM</w:t>
      </w:r>
    </w:p>
    <w:sectPr w:rsidR="007032C3" w:rsidRPr="007032C3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32083" w14:textId="77777777" w:rsidR="00BF215E" w:rsidRDefault="00BF215E">
      <w:r>
        <w:separator/>
      </w:r>
    </w:p>
  </w:endnote>
  <w:endnote w:type="continuationSeparator" w:id="0">
    <w:p w14:paraId="15A2549E" w14:textId="77777777" w:rsidR="00BF215E" w:rsidRDefault="00BF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127B" w14:textId="77777777" w:rsidR="00BF215E" w:rsidRDefault="00BF215E">
      <w:r>
        <w:separator/>
      </w:r>
    </w:p>
  </w:footnote>
  <w:footnote w:type="continuationSeparator" w:id="0">
    <w:p w14:paraId="3CBEF544" w14:textId="77777777" w:rsidR="00BF215E" w:rsidRDefault="00BF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3789" w14:textId="06C407AA" w:rsidR="00836FD6" w:rsidRDefault="00836FD6">
    <w:pPr>
      <w:pStyle w:val="Cabealho"/>
      <w:jc w:val="right"/>
      <w:rPr>
        <w:b/>
        <w:bCs/>
      </w:rPr>
    </w:pPr>
  </w:p>
  <w:p w14:paraId="2966C559" w14:textId="77777777" w:rsidR="00280FF5" w:rsidRDefault="00280FF5">
    <w:pPr>
      <w:pStyle w:val="Cabealho"/>
      <w:jc w:val="right"/>
      <w:rPr>
        <w:b/>
        <w:bCs/>
      </w:rPr>
    </w:pPr>
  </w:p>
  <w:p w14:paraId="301D62D4" w14:textId="1370512F" w:rsidR="00836FD6" w:rsidRDefault="00C27B67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80FF5">
      <w:rPr>
        <w:b/>
        <w:bCs/>
      </w:rPr>
      <w:t>0453</w:t>
    </w:r>
    <w:r>
      <w:rPr>
        <w:b/>
        <w:bCs/>
      </w:rPr>
      <w:t>/2</w:t>
    </w:r>
    <w:r w:rsidR="007032C3">
      <w:rPr>
        <w:b/>
        <w:bCs/>
      </w:rPr>
      <w:t>2</w:t>
    </w:r>
  </w:p>
  <w:p w14:paraId="7265339B" w14:textId="09375254" w:rsidR="00836FD6" w:rsidRDefault="002C72E4">
    <w:pPr>
      <w:pStyle w:val="Cabealho"/>
      <w:jc w:val="right"/>
    </w:pPr>
    <w:r>
      <w:rPr>
        <w:b/>
        <w:bCs/>
      </w:rPr>
      <w:t>PLL</w:t>
    </w:r>
    <w:r w:rsidR="007032C3">
      <w:rPr>
        <w:b/>
        <w:bCs/>
      </w:rPr>
      <w:t xml:space="preserve"> </w:t>
    </w:r>
    <w:r w:rsidR="00640F90">
      <w:rPr>
        <w:b/>
        <w:bCs/>
      </w:rPr>
      <w:t xml:space="preserve">   </w:t>
    </w:r>
    <w:r>
      <w:rPr>
        <w:b/>
        <w:bCs/>
      </w:rPr>
      <w:t xml:space="preserve"> Nº</w:t>
    </w:r>
    <w:r w:rsidR="007032C3">
      <w:rPr>
        <w:b/>
        <w:bCs/>
      </w:rPr>
      <w:t xml:space="preserve">  </w:t>
    </w:r>
    <w:r>
      <w:rPr>
        <w:b/>
        <w:bCs/>
      </w:rPr>
      <w:t xml:space="preserve">   </w:t>
    </w:r>
    <w:r w:rsidR="00280FF5">
      <w:rPr>
        <w:b/>
        <w:bCs/>
      </w:rPr>
      <w:t>235</w:t>
    </w:r>
    <w:r>
      <w:rPr>
        <w:b/>
        <w:bCs/>
      </w:rPr>
      <w:t>/2</w:t>
    </w:r>
    <w:r w:rsidR="007032C3">
      <w:rPr>
        <w:b/>
        <w:bCs/>
      </w:rPr>
      <w:t>2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D6"/>
    <w:rsid w:val="00000075"/>
    <w:rsid w:val="00016CD0"/>
    <w:rsid w:val="000216B3"/>
    <w:rsid w:val="000334BA"/>
    <w:rsid w:val="0003760B"/>
    <w:rsid w:val="000376A4"/>
    <w:rsid w:val="000403A8"/>
    <w:rsid w:val="0004366E"/>
    <w:rsid w:val="00045D76"/>
    <w:rsid w:val="00055F3F"/>
    <w:rsid w:val="00064B7E"/>
    <w:rsid w:val="00067288"/>
    <w:rsid w:val="000677CF"/>
    <w:rsid w:val="0007160F"/>
    <w:rsid w:val="000769B3"/>
    <w:rsid w:val="00081796"/>
    <w:rsid w:val="00090408"/>
    <w:rsid w:val="00090E27"/>
    <w:rsid w:val="00094CC7"/>
    <w:rsid w:val="00094CD5"/>
    <w:rsid w:val="000A34C2"/>
    <w:rsid w:val="000A4564"/>
    <w:rsid w:val="000B1F35"/>
    <w:rsid w:val="000B3D4A"/>
    <w:rsid w:val="000B655D"/>
    <w:rsid w:val="000C3A8D"/>
    <w:rsid w:val="000C7633"/>
    <w:rsid w:val="000E2811"/>
    <w:rsid w:val="000E5977"/>
    <w:rsid w:val="000E7BFC"/>
    <w:rsid w:val="001007AB"/>
    <w:rsid w:val="001014D6"/>
    <w:rsid w:val="00104448"/>
    <w:rsid w:val="00105ED4"/>
    <w:rsid w:val="00111021"/>
    <w:rsid w:val="00112691"/>
    <w:rsid w:val="001140C4"/>
    <w:rsid w:val="00117E93"/>
    <w:rsid w:val="001267BD"/>
    <w:rsid w:val="001330FA"/>
    <w:rsid w:val="001349DD"/>
    <w:rsid w:val="001379C5"/>
    <w:rsid w:val="001553CF"/>
    <w:rsid w:val="00162077"/>
    <w:rsid w:val="001623DB"/>
    <w:rsid w:val="001663D5"/>
    <w:rsid w:val="001674D9"/>
    <w:rsid w:val="00170940"/>
    <w:rsid w:val="00175A9E"/>
    <w:rsid w:val="001808D3"/>
    <w:rsid w:val="00182A2A"/>
    <w:rsid w:val="00185057"/>
    <w:rsid w:val="00186AD5"/>
    <w:rsid w:val="001904FA"/>
    <w:rsid w:val="001A48F2"/>
    <w:rsid w:val="001B065B"/>
    <w:rsid w:val="001E708E"/>
    <w:rsid w:val="001E7C49"/>
    <w:rsid w:val="001F3CBB"/>
    <w:rsid w:val="001F763A"/>
    <w:rsid w:val="0020282E"/>
    <w:rsid w:val="002201AF"/>
    <w:rsid w:val="002326B8"/>
    <w:rsid w:val="002418E0"/>
    <w:rsid w:val="00263BB5"/>
    <w:rsid w:val="00270EDE"/>
    <w:rsid w:val="002741C1"/>
    <w:rsid w:val="002745E4"/>
    <w:rsid w:val="00280FF5"/>
    <w:rsid w:val="00283649"/>
    <w:rsid w:val="00293B12"/>
    <w:rsid w:val="002A7BAF"/>
    <w:rsid w:val="002B34C9"/>
    <w:rsid w:val="002C6D5A"/>
    <w:rsid w:val="002C72E4"/>
    <w:rsid w:val="002C7D0D"/>
    <w:rsid w:val="002D0522"/>
    <w:rsid w:val="002E146B"/>
    <w:rsid w:val="002F0087"/>
    <w:rsid w:val="002F0C34"/>
    <w:rsid w:val="002F5044"/>
    <w:rsid w:val="002F6989"/>
    <w:rsid w:val="002F769A"/>
    <w:rsid w:val="00322473"/>
    <w:rsid w:val="0033011D"/>
    <w:rsid w:val="00347C5B"/>
    <w:rsid w:val="0035056A"/>
    <w:rsid w:val="00351CBD"/>
    <w:rsid w:val="00360096"/>
    <w:rsid w:val="003662D4"/>
    <w:rsid w:val="00370CC4"/>
    <w:rsid w:val="0037170B"/>
    <w:rsid w:val="0037268D"/>
    <w:rsid w:val="00375619"/>
    <w:rsid w:val="00375C07"/>
    <w:rsid w:val="003805B2"/>
    <w:rsid w:val="003928CD"/>
    <w:rsid w:val="00397211"/>
    <w:rsid w:val="003A0F33"/>
    <w:rsid w:val="003A4ED7"/>
    <w:rsid w:val="003B30AB"/>
    <w:rsid w:val="003B73F1"/>
    <w:rsid w:val="003B7AF7"/>
    <w:rsid w:val="003D2C4E"/>
    <w:rsid w:val="003D69F8"/>
    <w:rsid w:val="003E0011"/>
    <w:rsid w:val="003E0D13"/>
    <w:rsid w:val="003E6FB0"/>
    <w:rsid w:val="003F4C79"/>
    <w:rsid w:val="003F6789"/>
    <w:rsid w:val="00417023"/>
    <w:rsid w:val="00430C2C"/>
    <w:rsid w:val="00434798"/>
    <w:rsid w:val="004378A1"/>
    <w:rsid w:val="00443D5A"/>
    <w:rsid w:val="004524EC"/>
    <w:rsid w:val="004540AA"/>
    <w:rsid w:val="00470821"/>
    <w:rsid w:val="004717DE"/>
    <w:rsid w:val="00473628"/>
    <w:rsid w:val="0048524A"/>
    <w:rsid w:val="00493549"/>
    <w:rsid w:val="00493B4F"/>
    <w:rsid w:val="0049723A"/>
    <w:rsid w:val="004A4571"/>
    <w:rsid w:val="004A4F3A"/>
    <w:rsid w:val="004B2BBE"/>
    <w:rsid w:val="004C59D2"/>
    <w:rsid w:val="004D0061"/>
    <w:rsid w:val="004D075E"/>
    <w:rsid w:val="004D6B86"/>
    <w:rsid w:val="004E5F9E"/>
    <w:rsid w:val="004E7FEE"/>
    <w:rsid w:val="004F3EE7"/>
    <w:rsid w:val="004F5309"/>
    <w:rsid w:val="00515D0D"/>
    <w:rsid w:val="0054399E"/>
    <w:rsid w:val="00553643"/>
    <w:rsid w:val="00554453"/>
    <w:rsid w:val="0055651F"/>
    <w:rsid w:val="005568BC"/>
    <w:rsid w:val="0056705F"/>
    <w:rsid w:val="00570E94"/>
    <w:rsid w:val="00573519"/>
    <w:rsid w:val="005838B6"/>
    <w:rsid w:val="00593719"/>
    <w:rsid w:val="005C1B42"/>
    <w:rsid w:val="005C2BD6"/>
    <w:rsid w:val="005C5C74"/>
    <w:rsid w:val="005C6725"/>
    <w:rsid w:val="005D2D40"/>
    <w:rsid w:val="005F414F"/>
    <w:rsid w:val="005F45E7"/>
    <w:rsid w:val="005F6177"/>
    <w:rsid w:val="005F6756"/>
    <w:rsid w:val="006147CC"/>
    <w:rsid w:val="006163B8"/>
    <w:rsid w:val="00625EE5"/>
    <w:rsid w:val="00627C93"/>
    <w:rsid w:val="006326A7"/>
    <w:rsid w:val="0063500C"/>
    <w:rsid w:val="00637BD5"/>
    <w:rsid w:val="00640F90"/>
    <w:rsid w:val="006449CB"/>
    <w:rsid w:val="00652ACE"/>
    <w:rsid w:val="0066527E"/>
    <w:rsid w:val="00667045"/>
    <w:rsid w:val="00674990"/>
    <w:rsid w:val="00677CC1"/>
    <w:rsid w:val="00680E85"/>
    <w:rsid w:val="0068262B"/>
    <w:rsid w:val="00695708"/>
    <w:rsid w:val="006C1B95"/>
    <w:rsid w:val="006D0BA5"/>
    <w:rsid w:val="006D6B46"/>
    <w:rsid w:val="006F3B12"/>
    <w:rsid w:val="00702FF6"/>
    <w:rsid w:val="007032C3"/>
    <w:rsid w:val="007148C1"/>
    <w:rsid w:val="0072511A"/>
    <w:rsid w:val="00725202"/>
    <w:rsid w:val="0073043E"/>
    <w:rsid w:val="00731E60"/>
    <w:rsid w:val="00733648"/>
    <w:rsid w:val="0073647D"/>
    <w:rsid w:val="00742FC9"/>
    <w:rsid w:val="00750438"/>
    <w:rsid w:val="007530C2"/>
    <w:rsid w:val="00763F4C"/>
    <w:rsid w:val="00764AE9"/>
    <w:rsid w:val="00784034"/>
    <w:rsid w:val="00792617"/>
    <w:rsid w:val="007A2C70"/>
    <w:rsid w:val="007B0D08"/>
    <w:rsid w:val="007B68ED"/>
    <w:rsid w:val="007C0EAD"/>
    <w:rsid w:val="007C2F92"/>
    <w:rsid w:val="007C3A82"/>
    <w:rsid w:val="007E4A96"/>
    <w:rsid w:val="007F1247"/>
    <w:rsid w:val="00801137"/>
    <w:rsid w:val="00802658"/>
    <w:rsid w:val="008066DB"/>
    <w:rsid w:val="0081092A"/>
    <w:rsid w:val="00810A82"/>
    <w:rsid w:val="008111E6"/>
    <w:rsid w:val="0081251C"/>
    <w:rsid w:val="00830231"/>
    <w:rsid w:val="00834DF6"/>
    <w:rsid w:val="008364E5"/>
    <w:rsid w:val="00836FD6"/>
    <w:rsid w:val="0084157F"/>
    <w:rsid w:val="00843615"/>
    <w:rsid w:val="00863859"/>
    <w:rsid w:val="008649BE"/>
    <w:rsid w:val="008772E4"/>
    <w:rsid w:val="0088325C"/>
    <w:rsid w:val="0088371A"/>
    <w:rsid w:val="00884FCE"/>
    <w:rsid w:val="008865AE"/>
    <w:rsid w:val="00891B0A"/>
    <w:rsid w:val="00891C30"/>
    <w:rsid w:val="00897694"/>
    <w:rsid w:val="008A43E3"/>
    <w:rsid w:val="008C1890"/>
    <w:rsid w:val="008D1EC6"/>
    <w:rsid w:val="008D7DC3"/>
    <w:rsid w:val="008E024A"/>
    <w:rsid w:val="008E0B95"/>
    <w:rsid w:val="008E71AB"/>
    <w:rsid w:val="008F06C5"/>
    <w:rsid w:val="008F19D9"/>
    <w:rsid w:val="008F6F47"/>
    <w:rsid w:val="00904031"/>
    <w:rsid w:val="00910CCC"/>
    <w:rsid w:val="00916846"/>
    <w:rsid w:val="00922481"/>
    <w:rsid w:val="009311EB"/>
    <w:rsid w:val="009365A8"/>
    <w:rsid w:val="00941F98"/>
    <w:rsid w:val="009449E9"/>
    <w:rsid w:val="00945D60"/>
    <w:rsid w:val="009515B4"/>
    <w:rsid w:val="009520E3"/>
    <w:rsid w:val="009615BC"/>
    <w:rsid w:val="00971E8C"/>
    <w:rsid w:val="0098169E"/>
    <w:rsid w:val="009876C2"/>
    <w:rsid w:val="009A3C44"/>
    <w:rsid w:val="009B285C"/>
    <w:rsid w:val="009B3E54"/>
    <w:rsid w:val="009C75D0"/>
    <w:rsid w:val="009D14B0"/>
    <w:rsid w:val="009D7044"/>
    <w:rsid w:val="009F1F6C"/>
    <w:rsid w:val="009F35B7"/>
    <w:rsid w:val="009F4F8B"/>
    <w:rsid w:val="00A135C7"/>
    <w:rsid w:val="00A156C6"/>
    <w:rsid w:val="00A15FEB"/>
    <w:rsid w:val="00A16FFA"/>
    <w:rsid w:val="00A23BDB"/>
    <w:rsid w:val="00A25BFD"/>
    <w:rsid w:val="00A32125"/>
    <w:rsid w:val="00A37392"/>
    <w:rsid w:val="00A42836"/>
    <w:rsid w:val="00A42935"/>
    <w:rsid w:val="00A4521B"/>
    <w:rsid w:val="00A47D31"/>
    <w:rsid w:val="00A5670A"/>
    <w:rsid w:val="00A60A53"/>
    <w:rsid w:val="00A6266B"/>
    <w:rsid w:val="00A62E32"/>
    <w:rsid w:val="00A631D8"/>
    <w:rsid w:val="00A6758C"/>
    <w:rsid w:val="00A704FB"/>
    <w:rsid w:val="00A709FA"/>
    <w:rsid w:val="00A72D33"/>
    <w:rsid w:val="00A85983"/>
    <w:rsid w:val="00A86E4E"/>
    <w:rsid w:val="00A90AF5"/>
    <w:rsid w:val="00A944E5"/>
    <w:rsid w:val="00AA3198"/>
    <w:rsid w:val="00AB068E"/>
    <w:rsid w:val="00AB09F0"/>
    <w:rsid w:val="00AB4680"/>
    <w:rsid w:val="00AB5704"/>
    <w:rsid w:val="00AC1E65"/>
    <w:rsid w:val="00AC42CC"/>
    <w:rsid w:val="00AD6307"/>
    <w:rsid w:val="00AE0E12"/>
    <w:rsid w:val="00AE5099"/>
    <w:rsid w:val="00AF12FF"/>
    <w:rsid w:val="00AF7509"/>
    <w:rsid w:val="00B13185"/>
    <w:rsid w:val="00B133C0"/>
    <w:rsid w:val="00B169DA"/>
    <w:rsid w:val="00B349DE"/>
    <w:rsid w:val="00B46669"/>
    <w:rsid w:val="00B46892"/>
    <w:rsid w:val="00B56E2B"/>
    <w:rsid w:val="00B642D2"/>
    <w:rsid w:val="00B64D61"/>
    <w:rsid w:val="00B7327F"/>
    <w:rsid w:val="00B73330"/>
    <w:rsid w:val="00B74FF5"/>
    <w:rsid w:val="00B819DA"/>
    <w:rsid w:val="00B83A93"/>
    <w:rsid w:val="00B83DBF"/>
    <w:rsid w:val="00B86BF5"/>
    <w:rsid w:val="00B9630A"/>
    <w:rsid w:val="00B96B18"/>
    <w:rsid w:val="00BB72F1"/>
    <w:rsid w:val="00BC484C"/>
    <w:rsid w:val="00BF1F24"/>
    <w:rsid w:val="00BF215E"/>
    <w:rsid w:val="00BF7B19"/>
    <w:rsid w:val="00C00A6C"/>
    <w:rsid w:val="00C027D9"/>
    <w:rsid w:val="00C06328"/>
    <w:rsid w:val="00C0657A"/>
    <w:rsid w:val="00C220C5"/>
    <w:rsid w:val="00C27ACB"/>
    <w:rsid w:val="00C27B67"/>
    <w:rsid w:val="00C305AE"/>
    <w:rsid w:val="00C3124E"/>
    <w:rsid w:val="00C400DD"/>
    <w:rsid w:val="00C45D19"/>
    <w:rsid w:val="00C62808"/>
    <w:rsid w:val="00C708E3"/>
    <w:rsid w:val="00C73F44"/>
    <w:rsid w:val="00C75EA1"/>
    <w:rsid w:val="00C75EEF"/>
    <w:rsid w:val="00C91853"/>
    <w:rsid w:val="00C936D4"/>
    <w:rsid w:val="00CA34B1"/>
    <w:rsid w:val="00CB22EB"/>
    <w:rsid w:val="00CC4046"/>
    <w:rsid w:val="00CF5032"/>
    <w:rsid w:val="00D10B5E"/>
    <w:rsid w:val="00D167BA"/>
    <w:rsid w:val="00D32417"/>
    <w:rsid w:val="00D34FF1"/>
    <w:rsid w:val="00D404A9"/>
    <w:rsid w:val="00D47DC3"/>
    <w:rsid w:val="00D569B3"/>
    <w:rsid w:val="00D601CA"/>
    <w:rsid w:val="00D602A4"/>
    <w:rsid w:val="00D744FB"/>
    <w:rsid w:val="00D83B80"/>
    <w:rsid w:val="00D83DB2"/>
    <w:rsid w:val="00D84E7F"/>
    <w:rsid w:val="00D91A78"/>
    <w:rsid w:val="00D93E88"/>
    <w:rsid w:val="00D96859"/>
    <w:rsid w:val="00DA0277"/>
    <w:rsid w:val="00DA2D50"/>
    <w:rsid w:val="00DA67E8"/>
    <w:rsid w:val="00DB0BA1"/>
    <w:rsid w:val="00DB798A"/>
    <w:rsid w:val="00DD2E99"/>
    <w:rsid w:val="00DD407D"/>
    <w:rsid w:val="00DD6625"/>
    <w:rsid w:val="00DE0D5E"/>
    <w:rsid w:val="00DF23B3"/>
    <w:rsid w:val="00DF4464"/>
    <w:rsid w:val="00DF4FC7"/>
    <w:rsid w:val="00E1332B"/>
    <w:rsid w:val="00E21D27"/>
    <w:rsid w:val="00E27767"/>
    <w:rsid w:val="00E30D66"/>
    <w:rsid w:val="00E32F68"/>
    <w:rsid w:val="00E46E3F"/>
    <w:rsid w:val="00E530BA"/>
    <w:rsid w:val="00E56929"/>
    <w:rsid w:val="00E65F84"/>
    <w:rsid w:val="00E66ABE"/>
    <w:rsid w:val="00E84AC8"/>
    <w:rsid w:val="00EA4A4A"/>
    <w:rsid w:val="00EB5799"/>
    <w:rsid w:val="00EB7F4A"/>
    <w:rsid w:val="00EC6371"/>
    <w:rsid w:val="00EC7B85"/>
    <w:rsid w:val="00F028C5"/>
    <w:rsid w:val="00F070FD"/>
    <w:rsid w:val="00F154EB"/>
    <w:rsid w:val="00F30535"/>
    <w:rsid w:val="00F33F6E"/>
    <w:rsid w:val="00F51D91"/>
    <w:rsid w:val="00F75546"/>
    <w:rsid w:val="00F80372"/>
    <w:rsid w:val="00F8696F"/>
    <w:rsid w:val="00F9164F"/>
    <w:rsid w:val="00F92CA4"/>
    <w:rsid w:val="00F96ADB"/>
    <w:rsid w:val="00F9700E"/>
    <w:rsid w:val="00FA7363"/>
    <w:rsid w:val="00FB138B"/>
    <w:rsid w:val="00FB6EE7"/>
    <w:rsid w:val="00FD2A7D"/>
    <w:rsid w:val="00FD30B3"/>
    <w:rsid w:val="00FD5454"/>
    <w:rsid w:val="00FF1F0C"/>
    <w:rsid w:val="00FF45E6"/>
    <w:rsid w:val="00FF4CC0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74990"/>
    <w:rPr>
      <w:color w:val="808080"/>
    </w:rPr>
  </w:style>
  <w:style w:type="character" w:styleId="Hyperlink">
    <w:name w:val="Hyperlink"/>
    <w:basedOn w:val="Fontepargpadro"/>
    <w:uiPriority w:val="99"/>
    <w:unhideWhenUsed/>
    <w:rsid w:val="000C3A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542B-8402-4434-8CF2-39D88E97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1052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dc:description/>
  <cp:lastModifiedBy>Thiago Aguiar de Moraes</cp:lastModifiedBy>
  <cp:revision>41</cp:revision>
  <cp:lastPrinted>2015-02-24T14:27:00Z</cp:lastPrinted>
  <dcterms:created xsi:type="dcterms:W3CDTF">2022-09-28T16:34:00Z</dcterms:created>
  <dcterms:modified xsi:type="dcterms:W3CDTF">2022-10-24T13:03:00Z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