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59803342" w14:textId="34E2AE2F" w:rsidR="00FD7A7E" w:rsidRPr="00FD7A7E" w:rsidRDefault="00FD7A7E" w:rsidP="00FD7A7E">
      <w:pPr>
        <w:autoSpaceDE w:val="0"/>
        <w:autoSpaceDN w:val="0"/>
        <w:adjustRightInd w:val="0"/>
        <w:ind w:firstLine="1418"/>
        <w:jc w:val="both"/>
        <w:rPr>
          <w:bCs/>
        </w:rPr>
      </w:pPr>
      <w:r w:rsidRPr="00FD7A7E">
        <w:rPr>
          <w:bCs/>
        </w:rPr>
        <w:t xml:space="preserve">A presente </w:t>
      </w:r>
      <w:r w:rsidR="0087711B">
        <w:rPr>
          <w:bCs/>
        </w:rPr>
        <w:t>P</w:t>
      </w:r>
      <w:r w:rsidRPr="00FD7A7E">
        <w:rPr>
          <w:bCs/>
        </w:rPr>
        <w:t xml:space="preserve">roposição visa </w:t>
      </w:r>
      <w:r w:rsidR="0087711B">
        <w:rPr>
          <w:bCs/>
        </w:rPr>
        <w:t xml:space="preserve">a </w:t>
      </w:r>
      <w:r w:rsidRPr="00FD7A7E">
        <w:rPr>
          <w:bCs/>
        </w:rPr>
        <w:t>modernizar Lei nº 7.494, de 15 de setembro de 1994, em vigor no Município de Porto Alegre, para possibilitar maior segurança tanto para nossos cidadãos, usuários diários dos serviços financeiros, quanto para os funcionários de agências bancárias. Essa atualização da legislação ampliará a segurança no entorno das agências, na medida em que reduz a circulação de numerário em espécie e tornará o Município mais receptivo à instalação de novos e mais modernos modelos de negócios financeiros, gerando assim um potencial fomento à economia local ao possibilitar a expansão da bancarização.</w:t>
      </w:r>
    </w:p>
    <w:p w14:paraId="263B4F4F" w14:textId="036BD738" w:rsidR="00FD7A7E" w:rsidRPr="00FD7A7E" w:rsidRDefault="00FD7A7E" w:rsidP="00FD7A7E">
      <w:pPr>
        <w:autoSpaceDE w:val="0"/>
        <w:autoSpaceDN w:val="0"/>
        <w:adjustRightInd w:val="0"/>
        <w:ind w:firstLine="1418"/>
        <w:jc w:val="both"/>
        <w:rPr>
          <w:bCs/>
        </w:rPr>
      </w:pPr>
      <w:r w:rsidRPr="00FD7A7E">
        <w:rPr>
          <w:bCs/>
        </w:rPr>
        <w:t>Inicialmente</w:t>
      </w:r>
      <w:r w:rsidR="006D2292">
        <w:rPr>
          <w:bCs/>
        </w:rPr>
        <w:t>,</w:t>
      </w:r>
      <w:r w:rsidRPr="00FD7A7E">
        <w:rPr>
          <w:bCs/>
        </w:rPr>
        <w:t xml:space="preserve"> cumpre ressaltar que o funcionamento de agências bancárias é regulado pela Polícia Federal, vinculada ao Ministério da Justiça e Segurança Pública (MJSP), e se baseia na Lei Federal nº 7.102, de 1983. Esta legislação exige, para o devido funcionamento de uma agência bancária, a aprovação de um Plano de Segurança, que deve conter todas as características da agência e os itens de segurança que serão adotados. Somente após o aval da Polícia Federal é que qualquer agência bancária, em todo o país, vale ressaltar, poderá funcionar.</w:t>
      </w:r>
    </w:p>
    <w:p w14:paraId="4C5E457E" w14:textId="77777777" w:rsidR="00FD7A7E" w:rsidRPr="00FD7A7E" w:rsidRDefault="00FD7A7E" w:rsidP="00FD7A7E">
      <w:pPr>
        <w:autoSpaceDE w:val="0"/>
        <w:autoSpaceDN w:val="0"/>
        <w:adjustRightInd w:val="0"/>
        <w:ind w:firstLine="1418"/>
        <w:jc w:val="both"/>
        <w:rPr>
          <w:bCs/>
        </w:rPr>
      </w:pPr>
      <w:r w:rsidRPr="00FD7A7E">
        <w:rPr>
          <w:bCs/>
        </w:rPr>
        <w:t>Frise-se que as instituições financeiras são as maiores interessadas na adoção de itens de segurança para proteção de seus clientes, empregados e também do patrimônio.</w:t>
      </w:r>
    </w:p>
    <w:p w14:paraId="579CCAAA" w14:textId="51617474" w:rsidR="00FD7A7E" w:rsidRPr="00FD7A7E" w:rsidRDefault="00FD7A7E" w:rsidP="00FD7A7E">
      <w:pPr>
        <w:autoSpaceDE w:val="0"/>
        <w:autoSpaceDN w:val="0"/>
        <w:adjustRightInd w:val="0"/>
        <w:ind w:firstLine="1418"/>
        <w:jc w:val="both"/>
        <w:rPr>
          <w:bCs/>
        </w:rPr>
      </w:pPr>
      <w:r w:rsidRPr="00FD7A7E">
        <w:rPr>
          <w:bCs/>
        </w:rPr>
        <w:t xml:space="preserve">Cabe aqui analisarmos a legislação federal sobre segurança privada, especificamente quanto ao trâmite e elaboração dos planos de segurança dos estabelecimentos bancários onde há guarda e movimentação de numerário. Para determinados itens, como as portas giratórias </w:t>
      </w:r>
      <w:proofErr w:type="spellStart"/>
      <w:r w:rsidRPr="00FD7A7E">
        <w:rPr>
          <w:bCs/>
        </w:rPr>
        <w:t>detectoras</w:t>
      </w:r>
      <w:proofErr w:type="spellEnd"/>
      <w:r w:rsidRPr="00FD7A7E">
        <w:rPr>
          <w:bCs/>
        </w:rPr>
        <w:t xml:space="preserve"> de metais (PGDM), foi conferido às instituições financeiras a escolha dos equipamentos de segurança a serem adotados, de acordo com as peculiaridades de cada estabelecimento, sua localização, área, instalações e encaixe (</w:t>
      </w:r>
      <w:r w:rsidR="006D2292">
        <w:rPr>
          <w:bCs/>
        </w:rPr>
        <w:t>conforme</w:t>
      </w:r>
      <w:r w:rsidRPr="00FD7A7E">
        <w:rPr>
          <w:bCs/>
        </w:rPr>
        <w:t xml:space="preserve"> art. 2º da Lei Federal nº 7.102</w:t>
      </w:r>
      <w:r w:rsidR="006D2292">
        <w:rPr>
          <w:bCs/>
        </w:rPr>
        <w:t xml:space="preserve">, de </w:t>
      </w:r>
      <w:r w:rsidRPr="00FD7A7E">
        <w:rPr>
          <w:bCs/>
        </w:rPr>
        <w:t>1983</w:t>
      </w:r>
      <w:r w:rsidR="006D2292">
        <w:rPr>
          <w:bCs/>
        </w:rPr>
        <w:t>,</w:t>
      </w:r>
      <w:r w:rsidRPr="00FD7A7E">
        <w:rPr>
          <w:bCs/>
        </w:rPr>
        <w:t xml:space="preserve"> e art. 2º do Decreto Federal nº 89.056</w:t>
      </w:r>
      <w:r w:rsidR="006D2292">
        <w:rPr>
          <w:bCs/>
        </w:rPr>
        <w:t xml:space="preserve">, de </w:t>
      </w:r>
      <w:r w:rsidRPr="00FD7A7E">
        <w:rPr>
          <w:bCs/>
        </w:rPr>
        <w:t>1986).</w:t>
      </w:r>
    </w:p>
    <w:p w14:paraId="3517B812" w14:textId="34AEB93C" w:rsidR="00FD7A7E" w:rsidRPr="00FD7A7E" w:rsidRDefault="00FD7A7E" w:rsidP="00FD7A7E">
      <w:pPr>
        <w:autoSpaceDE w:val="0"/>
        <w:autoSpaceDN w:val="0"/>
        <w:adjustRightInd w:val="0"/>
        <w:ind w:firstLine="1418"/>
        <w:jc w:val="both"/>
        <w:rPr>
          <w:bCs/>
        </w:rPr>
      </w:pPr>
      <w:r w:rsidRPr="00FD7A7E">
        <w:rPr>
          <w:bCs/>
        </w:rPr>
        <w:t>Nessa avaliação</w:t>
      </w:r>
      <w:r w:rsidR="00DB71C7">
        <w:rPr>
          <w:bCs/>
        </w:rPr>
        <w:t>,</w:t>
      </w:r>
      <w:r w:rsidRPr="00FD7A7E">
        <w:rPr>
          <w:bCs/>
        </w:rPr>
        <w:t xml:space="preserve"> também são analisados outros aspectos como, por exemplo, se o imóvel é tombado ou não pelo patrimônio histórico, o que, em vista da legislação específica que limita modificações estruturais na edificação, torna inviável a instalação da porta, por serem necessárias adequações físicas para utilização desse tipo de equipamento.</w:t>
      </w:r>
    </w:p>
    <w:p w14:paraId="69FD5BFC" w14:textId="1B6AA46C" w:rsidR="00FD7A7E" w:rsidRPr="00FD7A7E" w:rsidRDefault="00FD7A7E" w:rsidP="00FD7A7E">
      <w:pPr>
        <w:autoSpaceDE w:val="0"/>
        <w:autoSpaceDN w:val="0"/>
        <w:adjustRightInd w:val="0"/>
        <w:ind w:firstLine="1418"/>
        <w:jc w:val="both"/>
        <w:rPr>
          <w:bCs/>
        </w:rPr>
      </w:pPr>
      <w:r w:rsidRPr="00FD7A7E">
        <w:rPr>
          <w:bCs/>
        </w:rPr>
        <w:t xml:space="preserve">Exatamente por essas circunstâncias é que a Lei Federal nº 7.102, de 1983, tempos em que as tecnologias sobre segurança bancária ainda não possuíam a estrutura e a tecnologia dos tempos atuais, classifica a porta giratória </w:t>
      </w:r>
      <w:proofErr w:type="spellStart"/>
      <w:r w:rsidRPr="00FD7A7E">
        <w:rPr>
          <w:bCs/>
        </w:rPr>
        <w:t>detectora</w:t>
      </w:r>
      <w:proofErr w:type="spellEnd"/>
      <w:r w:rsidRPr="00FD7A7E">
        <w:rPr>
          <w:bCs/>
        </w:rPr>
        <w:t xml:space="preserve"> de metais como um item </w:t>
      </w:r>
      <w:r w:rsidR="00DB71C7" w:rsidRPr="00DB71C7">
        <w:rPr>
          <w:b/>
        </w:rPr>
        <w:t>facultativo</w:t>
      </w:r>
      <w:r w:rsidRPr="00FD7A7E">
        <w:rPr>
          <w:bCs/>
        </w:rPr>
        <w:t>, permitindo que os estabelecimentos bancários adotem o sistema de segurança mais adequado às suas particularidades.</w:t>
      </w:r>
    </w:p>
    <w:p w14:paraId="37BEBD65" w14:textId="7AD1561D" w:rsidR="00FD7A7E" w:rsidRPr="00FD7A7E" w:rsidRDefault="00FD7A7E" w:rsidP="00FD7A7E">
      <w:pPr>
        <w:autoSpaceDE w:val="0"/>
        <w:autoSpaceDN w:val="0"/>
        <w:adjustRightInd w:val="0"/>
        <w:ind w:firstLine="1418"/>
        <w:jc w:val="both"/>
        <w:rPr>
          <w:bCs/>
        </w:rPr>
      </w:pPr>
      <w:r w:rsidRPr="00FD7A7E">
        <w:rPr>
          <w:bCs/>
        </w:rPr>
        <w:t>Destaco, como ponto crucial des</w:t>
      </w:r>
      <w:r w:rsidR="00155441">
        <w:rPr>
          <w:bCs/>
        </w:rPr>
        <w:t>s</w:t>
      </w:r>
      <w:r w:rsidRPr="00FD7A7E">
        <w:rPr>
          <w:bCs/>
        </w:rPr>
        <w:t xml:space="preserve">a </w:t>
      </w:r>
      <w:r w:rsidR="00155441">
        <w:rPr>
          <w:bCs/>
        </w:rPr>
        <w:t>P</w:t>
      </w:r>
      <w:r w:rsidRPr="00FD7A7E">
        <w:rPr>
          <w:bCs/>
        </w:rPr>
        <w:t>roposição, que o intuito do Projeto de Lei é manter as portas eletrônicas de segurança individualizada onde haja atendimento presencial de clientes e movimentação ou guarda de numerário, desde que previsto no Sistema ou Plano de Segurança aprovado pela Polícia Federal. A retirada da obrigatoriedade dar</w:t>
      </w:r>
      <w:r w:rsidR="00155441">
        <w:rPr>
          <w:bCs/>
        </w:rPr>
        <w:t>-se-</w:t>
      </w:r>
      <w:r w:rsidRPr="00FD7A7E">
        <w:rPr>
          <w:bCs/>
        </w:rPr>
        <w:t>á onde, e apenas onde, não haja guarda ou circulação de dinheiro em espécie e, para os estabelecimentos financeiros em que ainda houver a guarda e movimentação de numerário deverá ser observado, necessariamente, o que estabelece o respectivo Plano de Segurança aprovado pela Polícia Federal. </w:t>
      </w:r>
    </w:p>
    <w:p w14:paraId="2B74A648" w14:textId="28D0BD71" w:rsidR="00FD7A7E" w:rsidRPr="00FD7A7E" w:rsidRDefault="00FD7A7E" w:rsidP="00FD7A7E">
      <w:pPr>
        <w:autoSpaceDE w:val="0"/>
        <w:autoSpaceDN w:val="0"/>
        <w:adjustRightInd w:val="0"/>
        <w:ind w:firstLine="1418"/>
        <w:jc w:val="both"/>
        <w:rPr>
          <w:bCs/>
        </w:rPr>
      </w:pPr>
      <w:r w:rsidRPr="00FD7A7E">
        <w:rPr>
          <w:bCs/>
        </w:rPr>
        <w:t>Outrora tidas como importantes artefatos de segurança bancária, essas portas atualmente se mostram praticamente obsoletas, incapazes que são de inibir ou deter qualquer ação criminosa. É nes</w:t>
      </w:r>
      <w:r w:rsidR="00CA3C76">
        <w:rPr>
          <w:bCs/>
        </w:rPr>
        <w:t>s</w:t>
      </w:r>
      <w:r w:rsidRPr="00FD7A7E">
        <w:rPr>
          <w:bCs/>
        </w:rPr>
        <w:t xml:space="preserve">e sentido que buscamos com o projeto compatibilizar o caráter superveniente da legislação estadual aos termos das normas e leis vigentes em âmbito nacional, permitindo que a porta giratória seja dispensada quando: i) não houver atendimento presencial de clientes; </w:t>
      </w:r>
      <w:proofErr w:type="spellStart"/>
      <w:r w:rsidRPr="00FD7A7E">
        <w:rPr>
          <w:bCs/>
        </w:rPr>
        <w:t>ii</w:t>
      </w:r>
      <w:proofErr w:type="spellEnd"/>
      <w:r w:rsidRPr="00FD7A7E">
        <w:rPr>
          <w:bCs/>
        </w:rPr>
        <w:t>) for em locais de autoatendimento (</w:t>
      </w:r>
      <w:proofErr w:type="spellStart"/>
      <w:r w:rsidRPr="00FD7A7E">
        <w:rPr>
          <w:bCs/>
        </w:rPr>
        <w:t>ATMs</w:t>
      </w:r>
      <w:proofErr w:type="spellEnd"/>
      <w:r w:rsidRPr="00FD7A7E">
        <w:rPr>
          <w:bCs/>
        </w:rPr>
        <w:t xml:space="preserve">); </w:t>
      </w:r>
      <w:proofErr w:type="spellStart"/>
      <w:r w:rsidRPr="00FD7A7E">
        <w:rPr>
          <w:bCs/>
        </w:rPr>
        <w:t>iii</w:t>
      </w:r>
      <w:proofErr w:type="spellEnd"/>
      <w:r w:rsidRPr="00FD7A7E">
        <w:rPr>
          <w:bCs/>
        </w:rPr>
        <w:t xml:space="preserve">) não houver guarda ou movimentação de numerário dentro das agências bancárias; e </w:t>
      </w:r>
      <w:proofErr w:type="spellStart"/>
      <w:r w:rsidRPr="00FD7A7E">
        <w:rPr>
          <w:bCs/>
        </w:rPr>
        <w:t>iv</w:t>
      </w:r>
      <w:proofErr w:type="spellEnd"/>
      <w:r w:rsidRPr="00FD7A7E">
        <w:rPr>
          <w:bCs/>
        </w:rPr>
        <w:t>) houver Plano de Segurança aprovado pela Polícia Federal, nos termos da Lei Federal nº 7.102, de 1983.</w:t>
      </w:r>
    </w:p>
    <w:p w14:paraId="351BE2C9" w14:textId="77777777" w:rsidR="00FD7A7E" w:rsidRPr="00FD7A7E" w:rsidRDefault="00FD7A7E" w:rsidP="00FD7A7E">
      <w:pPr>
        <w:autoSpaceDE w:val="0"/>
        <w:autoSpaceDN w:val="0"/>
        <w:adjustRightInd w:val="0"/>
        <w:ind w:firstLine="1418"/>
        <w:jc w:val="both"/>
        <w:rPr>
          <w:bCs/>
        </w:rPr>
      </w:pPr>
      <w:r w:rsidRPr="00FD7A7E">
        <w:rPr>
          <w:bCs/>
        </w:rPr>
        <w:lastRenderedPageBreak/>
        <w:t>Os serviços e operações bancárias são serviços essenciais para a vida da população e exigem segurança aos seus usuários. Porém, nos locais onde há atendimento presencial de clientes que não possuem guarda ou movimentação de numerário pelos empregados do respectivo estabelecimento financeiro não há riscos aos usuários e tampouco aos referidos empregados, considerando a falta de atratividade às ações criminosas. Nessas agências bancárias não há cofre para guarda de valores, que é o que atrai a atenção dos criminosos, e não há movimentação de numerário realizada pelos funcionários das agências bancárias. Nesses casos, os riscos aos usuários se equiparam aos de qualquer estabelecimento comercial em que as portas de segurança não são exigidas, e, por outro lado, reduz a zero a atratividade para roubos e assaltos, visto que o volume de dinheiro em espécie dentro da agência é reduzido.</w:t>
      </w:r>
    </w:p>
    <w:p w14:paraId="09D80F91" w14:textId="77777777" w:rsidR="00FD7A7E" w:rsidRPr="00FD7A7E" w:rsidRDefault="00FD7A7E" w:rsidP="00FD7A7E">
      <w:pPr>
        <w:autoSpaceDE w:val="0"/>
        <w:autoSpaceDN w:val="0"/>
        <w:adjustRightInd w:val="0"/>
        <w:ind w:firstLine="1418"/>
        <w:jc w:val="both"/>
        <w:rPr>
          <w:bCs/>
        </w:rPr>
      </w:pPr>
      <w:r w:rsidRPr="00FD7A7E">
        <w:rPr>
          <w:bCs/>
        </w:rPr>
        <w:t>Outro fator é que mesmo que não ocorra assaltos, a presença dessas portas pode ser danosa no caso de acidentes ou incêndios. Caso uma agência bancária pegue fogo, elas podem ser um obstáculo para a fuga das pessoas e a dispersão da fumaça, impedindo também o acesso e ação dos bombeiros e brigadas de incêndio. Em suma: as portas não só se mostram ineficazes como também podem expor os clientes e funcionários das agências bancárias a situações de extremo risco e perigo.</w:t>
      </w:r>
    </w:p>
    <w:p w14:paraId="40D9D949" w14:textId="77777777" w:rsidR="00FD7A7E" w:rsidRPr="00FD7A7E" w:rsidRDefault="00FD7A7E" w:rsidP="00FD7A7E">
      <w:pPr>
        <w:autoSpaceDE w:val="0"/>
        <w:autoSpaceDN w:val="0"/>
        <w:adjustRightInd w:val="0"/>
        <w:ind w:firstLine="1418"/>
        <w:jc w:val="both"/>
        <w:rPr>
          <w:bCs/>
        </w:rPr>
      </w:pPr>
      <w:r w:rsidRPr="00FD7A7E">
        <w:rPr>
          <w:bCs/>
        </w:rPr>
        <w:t>Cabe ressaltar que nas agências bancárias com atendimento ao público, em que há guarda ou movimentação de numerário, atualmente são instalados novos e modernos itens, equipamentos e mecanismos de segurança, bem como são dotadas de outros procedimentos operacionais que maximizam a segurança e a proteção de usuários e dos seus respectivos empregados, todos eles contidos no Sistema ou Plano de Segurança previamente aprovado pela autoridade competente, a Polícia Federal.</w:t>
      </w:r>
    </w:p>
    <w:p w14:paraId="0071946C" w14:textId="77777777" w:rsidR="00FD7A7E" w:rsidRPr="00FD7A7E" w:rsidRDefault="00FD7A7E" w:rsidP="00FD7A7E">
      <w:pPr>
        <w:autoSpaceDE w:val="0"/>
        <w:autoSpaceDN w:val="0"/>
        <w:adjustRightInd w:val="0"/>
        <w:ind w:firstLine="1418"/>
        <w:jc w:val="both"/>
        <w:rPr>
          <w:bCs/>
        </w:rPr>
      </w:pPr>
      <w:r w:rsidRPr="00FD7A7E">
        <w:rPr>
          <w:bCs/>
        </w:rPr>
        <w:t>A retirada de numerário em agências bancárias cumulada com a realização de atendimento presencial de clientes, de modo pessoal, diferenciado e especializado, por si só, aumenta a segurança dos usuários, proporciona maior conforto na experiência da população com a instituição financeira e minimiza os riscos inerentes da atividade, inclusive em relação aos próprios empregados do respectivo estabelecimento bancário, que estarão mais seguros, sem precisar manusear dinheiro em espécie.</w:t>
      </w:r>
    </w:p>
    <w:p w14:paraId="2057B0FA" w14:textId="4E5FD9DF" w:rsidR="00FD7A7E" w:rsidRDefault="00FD7A7E" w:rsidP="00FD7A7E">
      <w:pPr>
        <w:autoSpaceDE w:val="0"/>
        <w:autoSpaceDN w:val="0"/>
        <w:adjustRightInd w:val="0"/>
        <w:ind w:firstLine="1418"/>
        <w:jc w:val="both"/>
        <w:rPr>
          <w:bCs/>
        </w:rPr>
      </w:pPr>
      <w:r w:rsidRPr="00FD7A7E">
        <w:rPr>
          <w:bCs/>
        </w:rPr>
        <w:t xml:space="preserve">Do ponto de vista constitucional e jurídico, não há inconstitucionalidades ou ilegalidades na presente </w:t>
      </w:r>
      <w:r w:rsidR="00EB5BEF">
        <w:rPr>
          <w:bCs/>
        </w:rPr>
        <w:t>P</w:t>
      </w:r>
      <w:r w:rsidRPr="00FD7A7E">
        <w:rPr>
          <w:bCs/>
        </w:rPr>
        <w:t>roposição. A Constituição Federal estabelece a competência legislativa municipal no seu art. 30, o qual estabelece a capacidade deste ente legislar sobre assuntos de interesse local, além de suplementar a legislação federal e a estadual no que couber. Por se tratar de regulamentação de comércio e funcionamento de estabelecimentos bancários, é de competência municipal em função do interesse local. A próp</w:t>
      </w:r>
      <w:r w:rsidR="00932741">
        <w:rPr>
          <w:bCs/>
        </w:rPr>
        <w:t>r</w:t>
      </w:r>
      <w:r w:rsidRPr="00FD7A7E">
        <w:rPr>
          <w:bCs/>
        </w:rPr>
        <w:t>ia legislação que se pretende alterar é municipal, o que fundamenta ainda mais a competência municipal. Nes</w:t>
      </w:r>
      <w:r w:rsidR="00DB0ED0">
        <w:rPr>
          <w:bCs/>
        </w:rPr>
        <w:t>s</w:t>
      </w:r>
      <w:r w:rsidRPr="00FD7A7E">
        <w:rPr>
          <w:bCs/>
        </w:rPr>
        <w:t>e sentido, já decidiu o Supremo Tribunal Federal em diversos julgados:</w:t>
      </w:r>
    </w:p>
    <w:p w14:paraId="4336EFC0" w14:textId="77777777" w:rsidR="00EB5BEF" w:rsidRPr="00FD7A7E" w:rsidRDefault="00EB5BEF" w:rsidP="00FD7A7E">
      <w:pPr>
        <w:autoSpaceDE w:val="0"/>
        <w:autoSpaceDN w:val="0"/>
        <w:adjustRightInd w:val="0"/>
        <w:ind w:firstLine="1418"/>
        <w:jc w:val="both"/>
        <w:rPr>
          <w:bCs/>
        </w:rPr>
      </w:pPr>
    </w:p>
    <w:p w14:paraId="5F2D3412" w14:textId="77777777" w:rsidR="00FD7A7E" w:rsidRPr="00FD7A7E" w:rsidRDefault="00FD7A7E" w:rsidP="003464A5">
      <w:pPr>
        <w:autoSpaceDE w:val="0"/>
        <w:autoSpaceDN w:val="0"/>
        <w:adjustRightInd w:val="0"/>
        <w:ind w:left="2268"/>
        <w:jc w:val="both"/>
        <w:rPr>
          <w:bCs/>
          <w:sz w:val="20"/>
          <w:szCs w:val="20"/>
        </w:rPr>
      </w:pPr>
      <w:r w:rsidRPr="00FD7A7E">
        <w:rPr>
          <w:bCs/>
          <w:sz w:val="20"/>
          <w:szCs w:val="20"/>
        </w:rPr>
        <w:t>Definição do tempo máximo de espera de clientes em filas de instituições bancárias. Competência do Município para legislar. Assunto de interesse local. Ratificação da jurisprudência firmada por esta Suprema Corte. [RE 610.221 RG, rel. min. Ellen Gracie, j. 29-4-2010, P, DJE de 20-8-2010, Tema 272.]</w:t>
      </w:r>
    </w:p>
    <w:p w14:paraId="6433864B" w14:textId="2D987D3B" w:rsidR="00FD7A7E" w:rsidRDefault="00FD7A7E" w:rsidP="003464A5">
      <w:pPr>
        <w:autoSpaceDE w:val="0"/>
        <w:autoSpaceDN w:val="0"/>
        <w:adjustRightInd w:val="0"/>
        <w:ind w:left="2268"/>
        <w:jc w:val="both"/>
        <w:rPr>
          <w:bCs/>
          <w:sz w:val="20"/>
          <w:szCs w:val="20"/>
        </w:rPr>
      </w:pPr>
      <w:r w:rsidRPr="00FD7A7E">
        <w:rPr>
          <w:bCs/>
          <w:sz w:val="20"/>
          <w:szCs w:val="20"/>
        </w:rPr>
        <w:t xml:space="preserve">Os Municípios têm autonomia para regular o horário do comércio local, desde que não infrinjam leis estaduais ou federais válidas, pois a Constituição lhes confere competência para legislar sobre assuntos de interesse local. [AI 622.405 </w:t>
      </w:r>
      <w:proofErr w:type="spellStart"/>
      <w:r w:rsidRPr="00FD7A7E">
        <w:rPr>
          <w:bCs/>
          <w:sz w:val="20"/>
          <w:szCs w:val="20"/>
        </w:rPr>
        <w:t>AgR</w:t>
      </w:r>
      <w:proofErr w:type="spellEnd"/>
      <w:r w:rsidRPr="00FD7A7E">
        <w:rPr>
          <w:bCs/>
          <w:sz w:val="20"/>
          <w:szCs w:val="20"/>
        </w:rPr>
        <w:t>, rel. min. Eros Grau, j. 22-5-2007, 2ª T, DJ de 15-6-2007.]</w:t>
      </w:r>
    </w:p>
    <w:p w14:paraId="4E090A2A" w14:textId="77777777" w:rsidR="00EB5BEF" w:rsidRPr="00FD7A7E" w:rsidRDefault="00EB5BEF" w:rsidP="003464A5">
      <w:pPr>
        <w:autoSpaceDE w:val="0"/>
        <w:autoSpaceDN w:val="0"/>
        <w:adjustRightInd w:val="0"/>
        <w:ind w:left="2268"/>
        <w:jc w:val="both"/>
        <w:rPr>
          <w:bCs/>
        </w:rPr>
      </w:pPr>
    </w:p>
    <w:p w14:paraId="27B3D50C" w14:textId="77777777" w:rsidR="00FD7A7E" w:rsidRPr="00FD7A7E" w:rsidRDefault="00FD7A7E" w:rsidP="00FD7A7E">
      <w:pPr>
        <w:autoSpaceDE w:val="0"/>
        <w:autoSpaceDN w:val="0"/>
        <w:adjustRightInd w:val="0"/>
        <w:ind w:firstLine="1418"/>
        <w:jc w:val="both"/>
        <w:rPr>
          <w:bCs/>
        </w:rPr>
      </w:pPr>
      <w:r w:rsidRPr="00FD7A7E">
        <w:rPr>
          <w:bCs/>
        </w:rPr>
        <w:t xml:space="preserve">A proposição legislativa, a princípio, compete a qualquer vereador, nos termos do </w:t>
      </w:r>
      <w:r w:rsidRPr="001B26A3">
        <w:rPr>
          <w:bCs/>
          <w:i/>
          <w:iCs/>
        </w:rPr>
        <w:t>caput</w:t>
      </w:r>
      <w:r w:rsidRPr="00FD7A7E">
        <w:rPr>
          <w:bCs/>
        </w:rPr>
        <w:t xml:space="preserve"> do art. 61 da Constituição Federal, art. 59 da Constituição Estadual e art. 75, II, da Lei Orgânica do Município de Porto Alegre, que confere “</w:t>
      </w:r>
      <w:r w:rsidRPr="00FD7A7E">
        <w:rPr>
          <w:bCs/>
          <w:i/>
          <w:iCs/>
        </w:rPr>
        <w:t>a iniciativa das leis ordinárias e das leis complementares</w:t>
      </w:r>
      <w:r w:rsidRPr="00FD7A7E">
        <w:rPr>
          <w:bCs/>
        </w:rPr>
        <w:t> [...] </w:t>
      </w:r>
      <w:r w:rsidRPr="00FD7A7E">
        <w:rPr>
          <w:bCs/>
          <w:i/>
          <w:iCs/>
        </w:rPr>
        <w:t>aos Vereadores</w:t>
      </w:r>
      <w:r w:rsidRPr="00FD7A7E">
        <w:rPr>
          <w:bCs/>
        </w:rPr>
        <w:t xml:space="preserve">”. As exceções quanto a essas iniciativas estão estabelecidas </w:t>
      </w:r>
      <w:r w:rsidRPr="00FD7A7E">
        <w:rPr>
          <w:bCs/>
        </w:rPr>
        <w:lastRenderedPageBreak/>
        <w:t>no art. 94 da Lei Orgânica do Município, que fixa competência privativa do Executivo para proposições que visem “</w:t>
      </w:r>
      <w:r w:rsidRPr="00FD7A7E">
        <w:rPr>
          <w:bCs/>
          <w:i/>
          <w:iCs/>
        </w:rPr>
        <w:t>a) criação e aumento da remuneração de cargos, funções ou empregos públicos na administração direta e autárquica; b) regime jurídico, provimento de cargos, estabilidade e aposentadoria dos servidores públicos; c) criação e estruturação de secretarias e órgãos da administração pública</w:t>
      </w:r>
      <w:r w:rsidRPr="00FD7A7E">
        <w:rPr>
          <w:bCs/>
        </w:rPr>
        <w:t>”. Não estando prevista no rol dos assuntos de competência privativa do Executivo, não há vícios de iniciativa na presente proposição.</w:t>
      </w:r>
    </w:p>
    <w:p w14:paraId="321A6823" w14:textId="1BB63C9F" w:rsidR="00B77A45" w:rsidRDefault="00FD7A7E" w:rsidP="006B012F">
      <w:pPr>
        <w:autoSpaceDE w:val="0"/>
        <w:autoSpaceDN w:val="0"/>
        <w:adjustRightInd w:val="0"/>
        <w:ind w:firstLine="1418"/>
        <w:jc w:val="both"/>
        <w:rPr>
          <w:bCs/>
        </w:rPr>
      </w:pPr>
      <w:r w:rsidRPr="00FD7A7E">
        <w:rPr>
          <w:bCs/>
        </w:rPr>
        <w:t>Sendo es</w:t>
      </w:r>
      <w:r w:rsidR="00DB0ED0">
        <w:rPr>
          <w:bCs/>
        </w:rPr>
        <w:t>s</w:t>
      </w:r>
      <w:r w:rsidRPr="00FD7A7E">
        <w:rPr>
          <w:bCs/>
        </w:rPr>
        <w:t xml:space="preserve">e o proposto, contamos com a colaboração dos nobres pares no sentido de modernizar a </w:t>
      </w:r>
      <w:r w:rsidR="00DB0ED0">
        <w:rPr>
          <w:bCs/>
        </w:rPr>
        <w:t>l</w:t>
      </w:r>
      <w:r w:rsidRPr="00FD7A7E">
        <w:rPr>
          <w:bCs/>
        </w:rPr>
        <w:t xml:space="preserve">egislação </w:t>
      </w:r>
      <w:r w:rsidR="00DB0ED0">
        <w:rPr>
          <w:bCs/>
        </w:rPr>
        <w:t>m</w:t>
      </w:r>
      <w:r w:rsidRPr="00FD7A7E">
        <w:rPr>
          <w:bCs/>
        </w:rPr>
        <w:t xml:space="preserve">unicipal de Porto Alegre, que proporcionará maior expansão da rede de agências bancárias no </w:t>
      </w:r>
      <w:r w:rsidR="00DB0ED0">
        <w:rPr>
          <w:bCs/>
        </w:rPr>
        <w:t>M</w:t>
      </w:r>
      <w:r w:rsidRPr="00FD7A7E">
        <w:rPr>
          <w:bCs/>
        </w:rPr>
        <w:t>unicípio, beneficiando na ponta os nossos cidadãos, atrelando segurança e modernidade</w:t>
      </w:r>
      <w:r w:rsidR="00B77A45" w:rsidRPr="00B77A45">
        <w:rPr>
          <w:bCs/>
        </w:rPr>
        <w:t>.</w:t>
      </w:r>
    </w:p>
    <w:p w14:paraId="25AAAB4F" w14:textId="172E5A21" w:rsidR="00DF120B" w:rsidRPr="00DF120B" w:rsidRDefault="00DF120B" w:rsidP="006B012F">
      <w:pPr>
        <w:autoSpaceDE w:val="0"/>
        <w:autoSpaceDN w:val="0"/>
        <w:adjustRightInd w:val="0"/>
        <w:ind w:firstLine="1418"/>
        <w:jc w:val="both"/>
      </w:pPr>
      <w:r w:rsidRPr="00B1398D">
        <w:t>Sala</w:t>
      </w:r>
      <w:r w:rsidR="0081018E">
        <w:t xml:space="preserve"> das Sessões, </w:t>
      </w:r>
      <w:r w:rsidR="00FD7A7E">
        <w:t>15</w:t>
      </w:r>
      <w:r w:rsidR="001D0A79">
        <w:t xml:space="preserve"> </w:t>
      </w:r>
      <w:r w:rsidRPr="00DF120B">
        <w:t xml:space="preserve">de </w:t>
      </w:r>
      <w:r w:rsidR="00B77A45">
        <w:t xml:space="preserve">junho </w:t>
      </w:r>
      <w:r w:rsidRPr="00DF120B">
        <w:t>d</w:t>
      </w:r>
      <w:r w:rsidR="00423040">
        <w:t xml:space="preserve">e </w:t>
      </w:r>
      <w:r w:rsidR="00FF1D49">
        <w:t>20</w:t>
      </w:r>
      <w:r w:rsidR="005853D2">
        <w:t>2</w:t>
      </w:r>
      <w:r w:rsidR="006B012F">
        <w:t>2</w:t>
      </w:r>
      <w:r w:rsidR="00994AD6">
        <w:t>.</w:t>
      </w:r>
    </w:p>
    <w:p w14:paraId="7FD44657" w14:textId="77777777" w:rsidR="00DF120B" w:rsidRDefault="00DF120B" w:rsidP="0098604A">
      <w:pPr>
        <w:autoSpaceDE w:val="0"/>
        <w:autoSpaceDN w:val="0"/>
        <w:adjustRightInd w:val="0"/>
        <w:ind w:firstLine="1418"/>
        <w:jc w:val="center"/>
      </w:pPr>
    </w:p>
    <w:p w14:paraId="726EA063" w14:textId="77777777" w:rsidR="00CE2A0A" w:rsidRDefault="00CE2A0A" w:rsidP="0098604A">
      <w:pPr>
        <w:autoSpaceDE w:val="0"/>
        <w:autoSpaceDN w:val="0"/>
        <w:adjustRightInd w:val="0"/>
        <w:ind w:firstLine="1418"/>
        <w:jc w:val="center"/>
      </w:pPr>
    </w:p>
    <w:p w14:paraId="190BDFFE" w14:textId="77777777" w:rsidR="00CE2A0A" w:rsidRDefault="00CE2A0A" w:rsidP="0098604A">
      <w:pPr>
        <w:autoSpaceDE w:val="0"/>
        <w:autoSpaceDN w:val="0"/>
        <w:adjustRightInd w:val="0"/>
        <w:ind w:firstLine="1418"/>
        <w:jc w:val="center"/>
      </w:pPr>
    </w:p>
    <w:p w14:paraId="42C358FA" w14:textId="00BE5BE4" w:rsidR="00423040" w:rsidRDefault="00DF120B" w:rsidP="00FD3665">
      <w:pPr>
        <w:autoSpaceDE w:val="0"/>
        <w:autoSpaceDN w:val="0"/>
        <w:adjustRightInd w:val="0"/>
        <w:jc w:val="center"/>
      </w:pPr>
      <w:r>
        <w:t xml:space="preserve">VEREADOR </w:t>
      </w:r>
      <w:r w:rsidR="00B77A45">
        <w:t>RAMIRO ROSÁRIO</w:t>
      </w:r>
    </w:p>
    <w:p w14:paraId="5B39504D" w14:textId="77777777" w:rsidR="004D4FA4" w:rsidRPr="00922830" w:rsidRDefault="009B50BA" w:rsidP="007E13BA">
      <w:pPr>
        <w:jc w:val="center"/>
        <w:rPr>
          <w:b/>
        </w:rPr>
      </w:pPr>
      <w:r>
        <w:br w:type="page"/>
      </w:r>
      <w:r w:rsidR="001E1419" w:rsidRPr="00922830">
        <w:rPr>
          <w:b/>
        </w:rPr>
        <w:lastRenderedPageBreak/>
        <w:t>PROJETO DE LEI</w:t>
      </w:r>
    </w:p>
    <w:p w14:paraId="40CA7FE0" w14:textId="77777777" w:rsidR="00DF120B" w:rsidRPr="00325690" w:rsidRDefault="00DF120B" w:rsidP="00DF120B">
      <w:pPr>
        <w:pStyle w:val="Cabealho"/>
        <w:tabs>
          <w:tab w:val="left" w:pos="708"/>
        </w:tabs>
        <w:jc w:val="center"/>
        <w:rPr>
          <w:b/>
        </w:rPr>
      </w:pP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24E36FA2" w14:textId="53D11023" w:rsidR="006B012F" w:rsidRDefault="0082085D" w:rsidP="006B012F">
      <w:pPr>
        <w:autoSpaceDE w:val="0"/>
        <w:autoSpaceDN w:val="0"/>
        <w:adjustRightInd w:val="0"/>
        <w:ind w:left="4253"/>
        <w:jc w:val="both"/>
        <w:rPr>
          <w:bCs/>
        </w:rPr>
      </w:pPr>
      <w:r w:rsidRPr="0082085D">
        <w:rPr>
          <w:b/>
          <w:bCs/>
          <w:iCs/>
          <w:color w:val="000000"/>
        </w:rPr>
        <w:t>Altera</w:t>
      </w:r>
      <w:r w:rsidR="00BC7C46">
        <w:rPr>
          <w:b/>
          <w:bCs/>
          <w:iCs/>
          <w:color w:val="000000"/>
        </w:rPr>
        <w:t xml:space="preserve"> a ementa</w:t>
      </w:r>
      <w:r w:rsidR="001C597C">
        <w:rPr>
          <w:b/>
          <w:bCs/>
          <w:iCs/>
          <w:color w:val="000000"/>
        </w:rPr>
        <w:t xml:space="preserve"> e</w:t>
      </w:r>
      <w:r w:rsidR="009B2F9C">
        <w:rPr>
          <w:b/>
          <w:bCs/>
          <w:iCs/>
          <w:color w:val="000000"/>
        </w:rPr>
        <w:t xml:space="preserve"> </w:t>
      </w:r>
      <w:r w:rsidR="00BC7C46">
        <w:rPr>
          <w:b/>
          <w:bCs/>
          <w:iCs/>
          <w:color w:val="000000"/>
        </w:rPr>
        <w:t xml:space="preserve">o </w:t>
      </w:r>
      <w:r w:rsidR="00BC7C46">
        <w:rPr>
          <w:b/>
          <w:bCs/>
          <w:i/>
          <w:color w:val="000000"/>
        </w:rPr>
        <w:t>caput</w:t>
      </w:r>
      <w:r w:rsidR="003068AD">
        <w:rPr>
          <w:b/>
          <w:bCs/>
          <w:iCs/>
          <w:color w:val="000000"/>
        </w:rPr>
        <w:t xml:space="preserve"> do art. 1º</w:t>
      </w:r>
      <w:r w:rsidR="001C597C">
        <w:rPr>
          <w:b/>
          <w:bCs/>
          <w:iCs/>
          <w:color w:val="000000"/>
        </w:rPr>
        <w:t>,</w:t>
      </w:r>
      <w:r w:rsidR="00BC7C46">
        <w:rPr>
          <w:b/>
          <w:bCs/>
          <w:i/>
          <w:color w:val="000000"/>
        </w:rPr>
        <w:t xml:space="preserve"> </w:t>
      </w:r>
      <w:r w:rsidR="001C597C">
        <w:rPr>
          <w:b/>
          <w:bCs/>
          <w:iCs/>
          <w:color w:val="000000"/>
        </w:rPr>
        <w:t xml:space="preserve">inclui §§ 4º e 5º </w:t>
      </w:r>
      <w:r w:rsidR="003068AD">
        <w:rPr>
          <w:b/>
          <w:bCs/>
          <w:iCs/>
          <w:color w:val="000000"/>
        </w:rPr>
        <w:t xml:space="preserve">no art. 1º </w:t>
      </w:r>
      <w:r w:rsidR="001C597C">
        <w:rPr>
          <w:b/>
          <w:bCs/>
          <w:iCs/>
          <w:color w:val="000000"/>
        </w:rPr>
        <w:t xml:space="preserve">e revoga os §§ 1º e 2º do </w:t>
      </w:r>
      <w:r w:rsidR="003068AD" w:rsidRPr="001B26A3">
        <w:rPr>
          <w:b/>
          <w:bCs/>
          <w:iCs/>
          <w:color w:val="000000"/>
        </w:rPr>
        <w:t>art. 1º</w:t>
      </w:r>
      <w:r w:rsidR="003068AD">
        <w:rPr>
          <w:b/>
          <w:bCs/>
          <w:iCs/>
          <w:color w:val="000000"/>
        </w:rPr>
        <w:t xml:space="preserve"> </w:t>
      </w:r>
      <w:r w:rsidR="00BC7C46">
        <w:rPr>
          <w:b/>
          <w:bCs/>
          <w:iCs/>
          <w:color w:val="000000"/>
        </w:rPr>
        <w:t xml:space="preserve">da </w:t>
      </w:r>
      <w:r w:rsidRPr="0082085D">
        <w:rPr>
          <w:b/>
          <w:bCs/>
          <w:iCs/>
          <w:color w:val="000000"/>
        </w:rPr>
        <w:t xml:space="preserve">Lei </w:t>
      </w:r>
      <w:r w:rsidR="00BC7C46">
        <w:rPr>
          <w:b/>
          <w:bCs/>
          <w:iCs/>
          <w:color w:val="000000"/>
        </w:rPr>
        <w:t xml:space="preserve">nº </w:t>
      </w:r>
      <w:r w:rsidRPr="0082085D">
        <w:rPr>
          <w:b/>
          <w:bCs/>
          <w:iCs/>
          <w:color w:val="000000"/>
        </w:rPr>
        <w:t>7.494, de 15 de setembro de 1994</w:t>
      </w:r>
      <w:r w:rsidR="00BA29BA">
        <w:rPr>
          <w:b/>
          <w:bCs/>
          <w:iCs/>
          <w:color w:val="000000"/>
        </w:rPr>
        <w:t xml:space="preserve"> –</w:t>
      </w:r>
      <w:r w:rsidRPr="0082085D">
        <w:rPr>
          <w:b/>
          <w:bCs/>
          <w:iCs/>
          <w:color w:val="000000"/>
        </w:rPr>
        <w:t xml:space="preserve"> </w:t>
      </w:r>
      <w:r w:rsidR="00452F34">
        <w:rPr>
          <w:b/>
          <w:bCs/>
          <w:iCs/>
          <w:color w:val="000000"/>
        </w:rPr>
        <w:t xml:space="preserve">que </w:t>
      </w:r>
      <w:r w:rsidR="00BA29BA">
        <w:rPr>
          <w:b/>
          <w:bCs/>
          <w:iCs/>
          <w:color w:val="000000"/>
        </w:rPr>
        <w:t>o</w:t>
      </w:r>
      <w:r w:rsidR="00BA29BA" w:rsidRPr="00BA29BA">
        <w:rPr>
          <w:b/>
          <w:bCs/>
          <w:iCs/>
          <w:color w:val="000000"/>
        </w:rPr>
        <w:t xml:space="preserve">briga as agências e os postos de serviços bancários em que haja cofre, guarda </w:t>
      </w:r>
      <w:r w:rsidR="00BA29BA">
        <w:rPr>
          <w:b/>
          <w:bCs/>
          <w:iCs/>
          <w:color w:val="000000"/>
        </w:rPr>
        <w:t>ou</w:t>
      </w:r>
      <w:r w:rsidR="00BA29BA" w:rsidRPr="00BA29BA">
        <w:rPr>
          <w:b/>
          <w:bCs/>
          <w:iCs/>
          <w:color w:val="000000"/>
        </w:rPr>
        <w:t xml:space="preserve"> movimentação de numerário a instalarem porta eletrônica de segurança individualizada </w:t>
      </w:r>
      <w:r w:rsidR="00C01912">
        <w:rPr>
          <w:b/>
          <w:bCs/>
          <w:iCs/>
          <w:color w:val="000000"/>
        </w:rPr>
        <w:t xml:space="preserve">na forma de </w:t>
      </w:r>
      <w:r w:rsidR="00BA29BA" w:rsidRPr="00BA29BA">
        <w:rPr>
          <w:b/>
          <w:bCs/>
          <w:iCs/>
          <w:color w:val="000000"/>
        </w:rPr>
        <w:t xml:space="preserve">porta giratória ou </w:t>
      </w:r>
      <w:r w:rsidR="003068AD">
        <w:rPr>
          <w:b/>
          <w:bCs/>
          <w:iCs/>
          <w:color w:val="000000"/>
        </w:rPr>
        <w:t xml:space="preserve">de </w:t>
      </w:r>
      <w:r w:rsidR="00BA29BA" w:rsidRPr="00BA29BA">
        <w:rPr>
          <w:b/>
          <w:bCs/>
          <w:iCs/>
          <w:color w:val="000000"/>
        </w:rPr>
        <w:t>sistema de eclusa</w:t>
      </w:r>
      <w:r w:rsidR="00B77A45" w:rsidRPr="00B77A45">
        <w:rPr>
          <w:b/>
          <w:bCs/>
          <w:iCs/>
          <w:color w:val="000000"/>
        </w:rPr>
        <w:t>.</w:t>
      </w:r>
    </w:p>
    <w:p w14:paraId="50218632" w14:textId="0E1E42B8" w:rsidR="009D3B5B" w:rsidRDefault="009D3B5B" w:rsidP="00357966">
      <w:pPr>
        <w:autoSpaceDE w:val="0"/>
        <w:autoSpaceDN w:val="0"/>
        <w:adjustRightInd w:val="0"/>
        <w:ind w:left="4320"/>
        <w:jc w:val="both"/>
        <w:rPr>
          <w:bCs/>
        </w:rPr>
      </w:pPr>
    </w:p>
    <w:p w14:paraId="39F25048" w14:textId="77777777" w:rsidR="00B77A45" w:rsidRPr="00922830" w:rsidRDefault="00B77A45" w:rsidP="00357966">
      <w:pPr>
        <w:autoSpaceDE w:val="0"/>
        <w:autoSpaceDN w:val="0"/>
        <w:adjustRightInd w:val="0"/>
        <w:ind w:left="4320"/>
        <w:jc w:val="both"/>
        <w:rPr>
          <w:bCs/>
        </w:rPr>
      </w:pPr>
    </w:p>
    <w:p w14:paraId="1727CD4B" w14:textId="1664EB67" w:rsidR="00BC7C46" w:rsidRPr="001B26A3" w:rsidRDefault="00D37C77" w:rsidP="00240F3E">
      <w:pPr>
        <w:autoSpaceDE w:val="0"/>
        <w:autoSpaceDN w:val="0"/>
        <w:adjustRightInd w:val="0"/>
        <w:ind w:firstLine="1418"/>
        <w:jc w:val="both"/>
        <w:rPr>
          <w:iCs/>
          <w:color w:val="000000"/>
        </w:rPr>
      </w:pPr>
      <w:r w:rsidRPr="000F3D94">
        <w:rPr>
          <w:b/>
          <w:bCs/>
        </w:rPr>
        <w:t>Art. 1º</w:t>
      </w:r>
      <w:r w:rsidR="00BC7C46">
        <w:rPr>
          <w:b/>
          <w:bCs/>
        </w:rPr>
        <w:t xml:space="preserve">  </w:t>
      </w:r>
      <w:r w:rsidR="00BC7C46" w:rsidRPr="001B26A3">
        <w:t xml:space="preserve">Fica alterada a ementa da </w:t>
      </w:r>
      <w:r w:rsidR="00BC7C46" w:rsidRPr="001B26A3">
        <w:rPr>
          <w:iCs/>
          <w:color w:val="000000"/>
        </w:rPr>
        <w:t>Lei nº 7.494, de 15 de setembro de 1994, conforme segue:</w:t>
      </w:r>
    </w:p>
    <w:p w14:paraId="0AB715A1" w14:textId="2CC5750A" w:rsidR="00BC7C46" w:rsidRDefault="00BC7C46" w:rsidP="00240F3E">
      <w:pPr>
        <w:autoSpaceDE w:val="0"/>
        <w:autoSpaceDN w:val="0"/>
        <w:adjustRightInd w:val="0"/>
        <w:ind w:firstLine="1418"/>
        <w:jc w:val="both"/>
        <w:rPr>
          <w:b/>
          <w:bCs/>
          <w:iCs/>
          <w:color w:val="000000"/>
        </w:rPr>
      </w:pPr>
    </w:p>
    <w:p w14:paraId="2E27D946" w14:textId="1125B237" w:rsidR="00BC7C46" w:rsidRPr="00452F34" w:rsidRDefault="00BC7C46" w:rsidP="00240F3E">
      <w:pPr>
        <w:autoSpaceDE w:val="0"/>
        <w:autoSpaceDN w:val="0"/>
        <w:adjustRightInd w:val="0"/>
        <w:ind w:firstLine="1418"/>
        <w:jc w:val="both"/>
      </w:pPr>
      <w:r w:rsidRPr="001B26A3">
        <w:rPr>
          <w:iCs/>
          <w:color w:val="000000"/>
        </w:rPr>
        <w:t>“</w:t>
      </w:r>
      <w:r w:rsidR="00C71A92">
        <w:rPr>
          <w:iCs/>
          <w:color w:val="000000"/>
        </w:rPr>
        <w:t>Obriga as</w:t>
      </w:r>
      <w:r w:rsidR="00C71A92" w:rsidRPr="00E2626D">
        <w:rPr>
          <w:iCs/>
          <w:color w:val="000000"/>
        </w:rPr>
        <w:t xml:space="preserve"> agências e </w:t>
      </w:r>
      <w:r w:rsidR="00C71A92">
        <w:rPr>
          <w:iCs/>
          <w:color w:val="000000"/>
        </w:rPr>
        <w:t xml:space="preserve">os </w:t>
      </w:r>
      <w:r w:rsidR="00C71A92" w:rsidRPr="00E2626D">
        <w:rPr>
          <w:iCs/>
          <w:color w:val="000000"/>
        </w:rPr>
        <w:t xml:space="preserve">postos de serviços bancários em que haja cofre, guarda </w:t>
      </w:r>
      <w:r w:rsidR="00DD07FB">
        <w:rPr>
          <w:iCs/>
          <w:color w:val="000000"/>
        </w:rPr>
        <w:t>ou</w:t>
      </w:r>
      <w:r w:rsidR="00C71A92" w:rsidRPr="00E2626D">
        <w:rPr>
          <w:iCs/>
          <w:color w:val="000000"/>
        </w:rPr>
        <w:t xml:space="preserve"> movimentação de numerário</w:t>
      </w:r>
      <w:r w:rsidR="00C71A92" w:rsidRPr="00452F34">
        <w:rPr>
          <w:iCs/>
          <w:color w:val="000000"/>
        </w:rPr>
        <w:t xml:space="preserve"> </w:t>
      </w:r>
      <w:r w:rsidR="00C71A92">
        <w:rPr>
          <w:iCs/>
          <w:color w:val="000000"/>
        </w:rPr>
        <w:t xml:space="preserve">a instalarem </w:t>
      </w:r>
      <w:r w:rsidR="00452F34" w:rsidRPr="001B26A3">
        <w:rPr>
          <w:iCs/>
          <w:color w:val="000000"/>
        </w:rPr>
        <w:t xml:space="preserve">porta eletrônica de segurança individualizada </w:t>
      </w:r>
      <w:r w:rsidR="003068AD">
        <w:rPr>
          <w:iCs/>
          <w:color w:val="000000"/>
        </w:rPr>
        <w:t xml:space="preserve">na forma de </w:t>
      </w:r>
      <w:r w:rsidR="00452F34" w:rsidRPr="001B26A3">
        <w:rPr>
          <w:iCs/>
          <w:color w:val="000000"/>
        </w:rPr>
        <w:t xml:space="preserve">porta giratória ou </w:t>
      </w:r>
      <w:r w:rsidR="003068AD">
        <w:rPr>
          <w:iCs/>
          <w:color w:val="000000"/>
        </w:rPr>
        <w:t xml:space="preserve">de </w:t>
      </w:r>
      <w:r w:rsidR="00452F34" w:rsidRPr="001B26A3">
        <w:rPr>
          <w:iCs/>
          <w:color w:val="000000"/>
        </w:rPr>
        <w:t>sistema de eclusa</w:t>
      </w:r>
      <w:r w:rsidR="00452F34">
        <w:rPr>
          <w:iCs/>
          <w:color w:val="000000"/>
        </w:rPr>
        <w:t>.” (NR)</w:t>
      </w:r>
    </w:p>
    <w:p w14:paraId="07DF442C" w14:textId="77777777" w:rsidR="00BC7C46" w:rsidRDefault="00BC7C46" w:rsidP="00240F3E">
      <w:pPr>
        <w:autoSpaceDE w:val="0"/>
        <w:autoSpaceDN w:val="0"/>
        <w:adjustRightInd w:val="0"/>
        <w:ind w:firstLine="1418"/>
        <w:jc w:val="both"/>
      </w:pPr>
    </w:p>
    <w:p w14:paraId="1FD70164" w14:textId="1994AA2D" w:rsidR="00240F3E" w:rsidRPr="005546A3" w:rsidRDefault="00BC7C46" w:rsidP="00240F3E">
      <w:pPr>
        <w:autoSpaceDE w:val="0"/>
        <w:autoSpaceDN w:val="0"/>
        <w:adjustRightInd w:val="0"/>
        <w:ind w:firstLine="1418"/>
        <w:jc w:val="both"/>
      </w:pPr>
      <w:r>
        <w:rPr>
          <w:b/>
          <w:bCs/>
        </w:rPr>
        <w:t xml:space="preserve">Art. 2º  </w:t>
      </w:r>
      <w:r w:rsidR="005546A3" w:rsidRPr="001B26A3">
        <w:t xml:space="preserve">No art. 1º da Lei nº 7.494, de 1994, fica alterado o </w:t>
      </w:r>
      <w:r w:rsidR="005546A3" w:rsidRPr="001B26A3">
        <w:rPr>
          <w:i/>
          <w:iCs/>
        </w:rPr>
        <w:t>caput</w:t>
      </w:r>
      <w:r w:rsidR="005546A3" w:rsidRPr="001B26A3">
        <w:t xml:space="preserve"> e ficam incluídos §§ 4º e 5º, conforme segue</w:t>
      </w:r>
      <w:r w:rsidR="00240F3E" w:rsidRPr="005546A3">
        <w:t>:</w:t>
      </w:r>
    </w:p>
    <w:p w14:paraId="25B7F3CF" w14:textId="77777777" w:rsidR="00240F3E" w:rsidRDefault="00240F3E" w:rsidP="00240F3E">
      <w:pPr>
        <w:autoSpaceDE w:val="0"/>
        <w:autoSpaceDN w:val="0"/>
        <w:adjustRightInd w:val="0"/>
        <w:ind w:firstLine="1418"/>
        <w:jc w:val="both"/>
      </w:pPr>
    </w:p>
    <w:p w14:paraId="165D1F94" w14:textId="34651B68" w:rsidR="00240F3E" w:rsidRDefault="00240F3E" w:rsidP="00240F3E">
      <w:pPr>
        <w:autoSpaceDE w:val="0"/>
        <w:autoSpaceDN w:val="0"/>
        <w:adjustRightInd w:val="0"/>
        <w:ind w:firstLine="1418"/>
        <w:jc w:val="both"/>
      </w:pPr>
      <w:r w:rsidRPr="00240F3E">
        <w:t>“Art.</w:t>
      </w:r>
      <w:r w:rsidR="002617F6">
        <w:t xml:space="preserve"> </w:t>
      </w:r>
      <w:r w:rsidRPr="00240F3E">
        <w:t>1º </w:t>
      </w:r>
      <w:r w:rsidR="002617F6">
        <w:t xml:space="preserve"> </w:t>
      </w:r>
      <w:r w:rsidR="00C71A92">
        <w:t>Ficam as</w:t>
      </w:r>
      <w:r w:rsidRPr="00240F3E">
        <w:t xml:space="preserve"> agências e </w:t>
      </w:r>
      <w:r w:rsidR="00C71A92">
        <w:t xml:space="preserve">os </w:t>
      </w:r>
      <w:r w:rsidRPr="00240F3E">
        <w:t>postos de serviços bancários</w:t>
      </w:r>
      <w:r w:rsidR="00BC7C46">
        <w:t xml:space="preserve"> </w:t>
      </w:r>
      <w:r w:rsidR="00BC7C46" w:rsidRPr="00240F3E">
        <w:t xml:space="preserve">em que haja cofre, guarda </w:t>
      </w:r>
      <w:r w:rsidR="00DD07FB">
        <w:t>ou</w:t>
      </w:r>
      <w:r w:rsidR="00BC7C46" w:rsidRPr="00240F3E">
        <w:t xml:space="preserve"> movimentação de numerário</w:t>
      </w:r>
      <w:r w:rsidR="00C71A92">
        <w:t xml:space="preserve"> obrigados</w:t>
      </w:r>
      <w:r w:rsidRPr="00240F3E">
        <w:t xml:space="preserve"> a instala</w:t>
      </w:r>
      <w:r w:rsidR="00C71A92">
        <w:t>r</w:t>
      </w:r>
      <w:r w:rsidRPr="00240F3E">
        <w:t xml:space="preserve"> porta eletrônica de segurança </w:t>
      </w:r>
      <w:r w:rsidR="005546A3" w:rsidRPr="00605AF3">
        <w:rPr>
          <w:iCs/>
          <w:color w:val="000000"/>
        </w:rPr>
        <w:t>individualizada</w:t>
      </w:r>
      <w:r w:rsidR="00C01912">
        <w:rPr>
          <w:iCs/>
          <w:color w:val="000000"/>
        </w:rPr>
        <w:t xml:space="preserve"> na forma de </w:t>
      </w:r>
      <w:r w:rsidR="005546A3" w:rsidRPr="00605AF3">
        <w:rPr>
          <w:iCs/>
          <w:color w:val="000000"/>
        </w:rPr>
        <w:t xml:space="preserve">porta giratória ou </w:t>
      </w:r>
      <w:r w:rsidR="003068AD">
        <w:rPr>
          <w:iCs/>
          <w:color w:val="000000"/>
        </w:rPr>
        <w:t xml:space="preserve">de </w:t>
      </w:r>
      <w:r w:rsidR="005546A3" w:rsidRPr="00605AF3">
        <w:rPr>
          <w:iCs/>
          <w:color w:val="000000"/>
        </w:rPr>
        <w:t>sistema de eclusa</w:t>
      </w:r>
      <w:r w:rsidRPr="00240F3E">
        <w:t>.</w:t>
      </w:r>
    </w:p>
    <w:p w14:paraId="689BB237" w14:textId="77777777" w:rsidR="005546A3" w:rsidRDefault="005546A3" w:rsidP="00240F3E">
      <w:pPr>
        <w:autoSpaceDE w:val="0"/>
        <w:autoSpaceDN w:val="0"/>
        <w:adjustRightInd w:val="0"/>
        <w:ind w:firstLine="1418"/>
        <w:jc w:val="both"/>
      </w:pPr>
    </w:p>
    <w:p w14:paraId="59A4ECD9" w14:textId="12CD49FA" w:rsidR="005546A3" w:rsidRPr="00240F3E" w:rsidRDefault="005546A3" w:rsidP="00240F3E">
      <w:pPr>
        <w:autoSpaceDE w:val="0"/>
        <w:autoSpaceDN w:val="0"/>
        <w:adjustRightInd w:val="0"/>
        <w:ind w:firstLine="1418"/>
        <w:jc w:val="both"/>
      </w:pPr>
      <w:r>
        <w:t>....................................................................................................................................</w:t>
      </w:r>
    </w:p>
    <w:p w14:paraId="33AE392C" w14:textId="77777777" w:rsidR="00240F3E" w:rsidRPr="00240F3E" w:rsidRDefault="00240F3E" w:rsidP="00240F3E">
      <w:pPr>
        <w:autoSpaceDE w:val="0"/>
        <w:autoSpaceDN w:val="0"/>
        <w:adjustRightInd w:val="0"/>
        <w:ind w:firstLine="1418"/>
        <w:jc w:val="both"/>
      </w:pPr>
    </w:p>
    <w:p w14:paraId="43030F28" w14:textId="5C5CA3D6" w:rsidR="001A4D1F" w:rsidRDefault="00240F3E" w:rsidP="00240F3E">
      <w:pPr>
        <w:autoSpaceDE w:val="0"/>
        <w:autoSpaceDN w:val="0"/>
        <w:adjustRightInd w:val="0"/>
        <w:ind w:firstLine="1418"/>
        <w:jc w:val="both"/>
      </w:pPr>
      <w:r w:rsidRPr="00240F3E">
        <w:t>§</w:t>
      </w:r>
      <w:r w:rsidR="00E16EE7">
        <w:t xml:space="preserve"> </w:t>
      </w:r>
      <w:r w:rsidR="005546A3">
        <w:t>4</w:t>
      </w:r>
      <w:r w:rsidRPr="00240F3E">
        <w:t>º </w:t>
      </w:r>
      <w:r w:rsidR="00E16EE7">
        <w:t xml:space="preserve"> </w:t>
      </w:r>
      <w:r w:rsidRPr="00240F3E">
        <w:t xml:space="preserve">A obrigatoriedade </w:t>
      </w:r>
      <w:r w:rsidR="00BC7C46">
        <w:t xml:space="preserve">de que trata o </w:t>
      </w:r>
      <w:r w:rsidR="00BC7C46">
        <w:rPr>
          <w:i/>
          <w:iCs/>
        </w:rPr>
        <w:t>caput</w:t>
      </w:r>
      <w:r w:rsidR="00BC7C46" w:rsidRPr="00240F3E">
        <w:t xml:space="preserve"> </w:t>
      </w:r>
      <w:r w:rsidR="00BC7C46">
        <w:t>d</w:t>
      </w:r>
      <w:r w:rsidRPr="00240F3E">
        <w:t>es</w:t>
      </w:r>
      <w:r w:rsidR="00BC7C46">
        <w:t>t</w:t>
      </w:r>
      <w:r w:rsidRPr="00240F3E">
        <w:t>e artigo não se aplica</w:t>
      </w:r>
      <w:r w:rsidR="00B946FA">
        <w:t>:</w:t>
      </w:r>
    </w:p>
    <w:p w14:paraId="4DBF6A35" w14:textId="77777777" w:rsidR="001A4D1F" w:rsidRDefault="001A4D1F" w:rsidP="00240F3E">
      <w:pPr>
        <w:autoSpaceDE w:val="0"/>
        <w:autoSpaceDN w:val="0"/>
        <w:adjustRightInd w:val="0"/>
        <w:ind w:firstLine="1418"/>
        <w:jc w:val="both"/>
      </w:pPr>
    </w:p>
    <w:p w14:paraId="0D911C1D" w14:textId="6D159490" w:rsidR="00240F3E" w:rsidRDefault="001A4D1F" w:rsidP="00240F3E">
      <w:pPr>
        <w:autoSpaceDE w:val="0"/>
        <w:autoSpaceDN w:val="0"/>
        <w:adjustRightInd w:val="0"/>
        <w:ind w:firstLine="1418"/>
        <w:jc w:val="both"/>
      </w:pPr>
      <w:r>
        <w:t xml:space="preserve">I – </w:t>
      </w:r>
      <w:r w:rsidRPr="00240F3E">
        <w:t xml:space="preserve">se houver Plano de Segurança aprovado pela Polícia Federal nos termos da Lei Federal nº 7.102, de </w:t>
      </w:r>
      <w:r>
        <w:t>20 de junho de 1</w:t>
      </w:r>
      <w:r w:rsidRPr="00240F3E">
        <w:t>983</w:t>
      </w:r>
      <w:r>
        <w:t>; e</w:t>
      </w:r>
    </w:p>
    <w:p w14:paraId="4737585D" w14:textId="3145B3D7" w:rsidR="001A4D1F" w:rsidRDefault="001A4D1F" w:rsidP="00240F3E">
      <w:pPr>
        <w:autoSpaceDE w:val="0"/>
        <w:autoSpaceDN w:val="0"/>
        <w:adjustRightInd w:val="0"/>
        <w:ind w:firstLine="1418"/>
        <w:jc w:val="both"/>
      </w:pPr>
    </w:p>
    <w:p w14:paraId="12F04E3B" w14:textId="0AE5D083" w:rsidR="00240F3E" w:rsidRPr="00240F3E" w:rsidRDefault="001A4D1F">
      <w:pPr>
        <w:autoSpaceDE w:val="0"/>
        <w:autoSpaceDN w:val="0"/>
        <w:adjustRightInd w:val="0"/>
        <w:ind w:firstLine="1418"/>
        <w:jc w:val="both"/>
      </w:pPr>
      <w:r>
        <w:t xml:space="preserve">II – </w:t>
      </w:r>
      <w:r w:rsidRPr="00240F3E">
        <w:t>aos Postos de Atendimento (PA) e Posto</w:t>
      </w:r>
      <w:r>
        <w:t>s</w:t>
      </w:r>
      <w:r w:rsidRPr="00240F3E">
        <w:t xml:space="preserve"> de Atendimento Eletrônico (PAE)</w:t>
      </w:r>
      <w:r w:rsidR="00240F3E" w:rsidRPr="00240F3E">
        <w:t>.</w:t>
      </w:r>
    </w:p>
    <w:p w14:paraId="33133EFA" w14:textId="77777777" w:rsidR="00240F3E" w:rsidRPr="00240F3E" w:rsidRDefault="00240F3E" w:rsidP="00240F3E">
      <w:pPr>
        <w:autoSpaceDE w:val="0"/>
        <w:autoSpaceDN w:val="0"/>
        <w:adjustRightInd w:val="0"/>
        <w:ind w:firstLine="1418"/>
        <w:jc w:val="both"/>
      </w:pPr>
    </w:p>
    <w:p w14:paraId="5EF8BDDF" w14:textId="0A526E69" w:rsidR="006465DF" w:rsidRPr="00240F3E" w:rsidRDefault="00240F3E" w:rsidP="00240F3E">
      <w:pPr>
        <w:autoSpaceDE w:val="0"/>
        <w:autoSpaceDN w:val="0"/>
        <w:adjustRightInd w:val="0"/>
        <w:ind w:firstLine="1418"/>
        <w:jc w:val="both"/>
      </w:pPr>
      <w:r w:rsidRPr="00240F3E">
        <w:t>§</w:t>
      </w:r>
      <w:r w:rsidR="001A4D1F">
        <w:t xml:space="preserve"> </w:t>
      </w:r>
      <w:r w:rsidR="005546A3">
        <w:t>5</w:t>
      </w:r>
      <w:r w:rsidRPr="00240F3E">
        <w:t>º </w:t>
      </w:r>
      <w:r w:rsidR="00E16EE7">
        <w:t xml:space="preserve"> </w:t>
      </w:r>
      <w:r w:rsidRPr="00240F3E">
        <w:t>As agências dispensadas do uso de porta giratória deverão manter sistema de monitoramento ininterrupto em regime de 24</w:t>
      </w:r>
      <w:r w:rsidR="002617F6">
        <w:t xml:space="preserve"> (vinte e quatro)</w:t>
      </w:r>
      <w:r w:rsidRPr="00240F3E">
        <w:t xml:space="preserve"> horas por </w:t>
      </w:r>
      <w:r w:rsidR="002617F6">
        <w:t>7 (sete)</w:t>
      </w:r>
      <w:r w:rsidRPr="00240F3E">
        <w:t xml:space="preserve"> dias semanais, </w:t>
      </w:r>
      <w:r w:rsidR="002617F6">
        <w:t>bem</w:t>
      </w:r>
      <w:r w:rsidR="002617F6" w:rsidRPr="00240F3E">
        <w:t xml:space="preserve"> </w:t>
      </w:r>
      <w:r w:rsidRPr="00240F3E">
        <w:t>como alarme.</w:t>
      </w:r>
      <w:r w:rsidR="00B77A45" w:rsidRPr="00240F3E">
        <w:t>” (NR)</w:t>
      </w:r>
    </w:p>
    <w:p w14:paraId="18179FD9" w14:textId="77777777" w:rsidR="00B77A45" w:rsidRPr="006465DF" w:rsidRDefault="00B77A45" w:rsidP="00B77A45">
      <w:pPr>
        <w:autoSpaceDE w:val="0"/>
        <w:autoSpaceDN w:val="0"/>
        <w:adjustRightInd w:val="0"/>
        <w:ind w:firstLine="1418"/>
        <w:jc w:val="both"/>
      </w:pPr>
    </w:p>
    <w:p w14:paraId="7BBC8452" w14:textId="17626E9D" w:rsidR="00EF7F10" w:rsidRDefault="00EF7F10" w:rsidP="00EF7F10">
      <w:pPr>
        <w:autoSpaceDE w:val="0"/>
        <w:autoSpaceDN w:val="0"/>
        <w:adjustRightInd w:val="0"/>
        <w:ind w:firstLine="1418"/>
        <w:jc w:val="both"/>
      </w:pPr>
      <w:r w:rsidRPr="00EF7F10">
        <w:rPr>
          <w:b/>
        </w:rPr>
        <w:t>Art</w:t>
      </w:r>
      <w:r w:rsidR="00AB3B37">
        <w:rPr>
          <w:b/>
        </w:rPr>
        <w:t>.</w:t>
      </w:r>
      <w:r w:rsidR="009D3B5B">
        <w:rPr>
          <w:b/>
        </w:rPr>
        <w:t xml:space="preserve"> </w:t>
      </w:r>
      <w:r w:rsidR="00BC7C46">
        <w:rPr>
          <w:b/>
        </w:rPr>
        <w:t>3</w:t>
      </w:r>
      <w:r w:rsidRPr="00EF7F10">
        <w:rPr>
          <w:b/>
        </w:rPr>
        <w:t>º</w:t>
      </w:r>
      <w:r>
        <w:t xml:space="preserve"> </w:t>
      </w:r>
      <w:r w:rsidRPr="00EF7F10">
        <w:t xml:space="preserve"> Esta Lei entra em vigor </w:t>
      </w:r>
      <w:r w:rsidR="009D3B5B">
        <w:t>n</w:t>
      </w:r>
      <w:r w:rsidRPr="00EF7F10">
        <w:t>a data de sua publicação.</w:t>
      </w:r>
    </w:p>
    <w:p w14:paraId="38F3F2E6" w14:textId="01BA3614" w:rsidR="005546A3" w:rsidRDefault="005546A3" w:rsidP="00EF7F10">
      <w:pPr>
        <w:autoSpaceDE w:val="0"/>
        <w:autoSpaceDN w:val="0"/>
        <w:adjustRightInd w:val="0"/>
        <w:ind w:firstLine="1418"/>
        <w:jc w:val="both"/>
      </w:pPr>
    </w:p>
    <w:p w14:paraId="5FB94C8B" w14:textId="573E0BBB" w:rsidR="005546A3" w:rsidRPr="00EF7F10" w:rsidRDefault="005546A3" w:rsidP="00EF7F10">
      <w:pPr>
        <w:autoSpaceDE w:val="0"/>
        <w:autoSpaceDN w:val="0"/>
        <w:adjustRightInd w:val="0"/>
        <w:ind w:firstLine="1418"/>
        <w:jc w:val="both"/>
      </w:pPr>
      <w:r w:rsidRPr="007E177B">
        <w:rPr>
          <w:b/>
          <w:bCs/>
        </w:rPr>
        <w:t>Art. 4º</w:t>
      </w:r>
      <w:r>
        <w:t xml:space="preserve">  Ficam revogados os §§ 1</w:t>
      </w:r>
      <w:r w:rsidR="00E77C8D">
        <w:t>º</w:t>
      </w:r>
      <w:r>
        <w:t xml:space="preserve"> e 2</w:t>
      </w:r>
      <w:r w:rsidR="00E77C8D">
        <w:t>º</w:t>
      </w:r>
      <w:r>
        <w:t xml:space="preserve"> do art. 1º da </w:t>
      </w:r>
      <w:r w:rsidRPr="00605AF3">
        <w:rPr>
          <w:iCs/>
          <w:color w:val="000000"/>
        </w:rPr>
        <w:t>Lei nº 7.494, de 15 de setembro de 1994</w:t>
      </w:r>
      <w:r>
        <w:rPr>
          <w:iCs/>
          <w:color w:val="000000"/>
        </w:rPr>
        <w:t>.</w:t>
      </w:r>
    </w:p>
    <w:p w14:paraId="2D5AF2BC" w14:textId="4EFD126E" w:rsidR="00C26A33" w:rsidRPr="00CC6F83" w:rsidRDefault="00C26A33" w:rsidP="00EF7F10">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752DDB87" w:rsidR="00383592" w:rsidRPr="00244DEE" w:rsidRDefault="00890813" w:rsidP="00E96346">
      <w:pPr>
        <w:autoSpaceDE w:val="0"/>
        <w:autoSpaceDN w:val="0"/>
        <w:adjustRightInd w:val="0"/>
      </w:pPr>
      <w:r>
        <w:rPr>
          <w:bCs/>
          <w:color w:val="000000"/>
          <w:sz w:val="20"/>
          <w:szCs w:val="20"/>
        </w:rPr>
        <w:t>/</w:t>
      </w:r>
      <w:r w:rsidR="009805B6">
        <w:rPr>
          <w:bCs/>
          <w:color w:val="000000"/>
          <w:sz w:val="20"/>
          <w:szCs w:val="20"/>
        </w:rPr>
        <w:t>JEN</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B98B" w14:textId="77777777" w:rsidR="00B176D4" w:rsidRDefault="00B176D4">
      <w:r>
        <w:separator/>
      </w:r>
    </w:p>
  </w:endnote>
  <w:endnote w:type="continuationSeparator" w:id="0">
    <w:p w14:paraId="6870C046" w14:textId="77777777" w:rsidR="00B176D4" w:rsidRDefault="00B1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3061" w14:textId="77777777" w:rsidR="00B176D4" w:rsidRDefault="00B176D4">
      <w:r>
        <w:separator/>
      </w:r>
    </w:p>
  </w:footnote>
  <w:footnote w:type="continuationSeparator" w:id="0">
    <w:p w14:paraId="09692D86" w14:textId="77777777" w:rsidR="00B176D4" w:rsidRDefault="00B17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2CC4FABD" w:rsidR="00244AC2" w:rsidRDefault="002B1502" w:rsidP="00244AC2">
    <w:pPr>
      <w:pStyle w:val="Cabealho"/>
      <w:jc w:val="right"/>
      <w:rPr>
        <w:b/>
        <w:bCs/>
      </w:rPr>
    </w:pPr>
    <w:r>
      <w:rPr>
        <w:b/>
        <w:bCs/>
      </w:rPr>
      <w:t xml:space="preserve">PROC. Nº   </w:t>
    </w:r>
    <w:r w:rsidR="00B77A45">
      <w:rPr>
        <w:b/>
        <w:bCs/>
      </w:rPr>
      <w:t>0</w:t>
    </w:r>
    <w:r w:rsidR="000B43CE">
      <w:rPr>
        <w:b/>
        <w:bCs/>
      </w:rPr>
      <w:t>477</w:t>
    </w:r>
    <w:r w:rsidR="00244AC2">
      <w:rPr>
        <w:b/>
        <w:bCs/>
      </w:rPr>
      <w:t>/</w:t>
    </w:r>
    <w:r w:rsidR="009D3B5B">
      <w:rPr>
        <w:b/>
        <w:bCs/>
      </w:rPr>
      <w:t>2</w:t>
    </w:r>
    <w:r w:rsidR="006B012F">
      <w:rPr>
        <w:b/>
        <w:bCs/>
      </w:rPr>
      <w:t>2</w:t>
    </w:r>
  </w:p>
  <w:p w14:paraId="7F3C66EC" w14:textId="191B92CB"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B77A45">
      <w:rPr>
        <w:b/>
        <w:bCs/>
      </w:rPr>
      <w:t>2</w:t>
    </w:r>
    <w:r w:rsidR="000B43CE">
      <w:rPr>
        <w:b/>
        <w:bCs/>
      </w:rPr>
      <w:t>4</w:t>
    </w:r>
    <w:r w:rsidR="00B77A45">
      <w:rPr>
        <w:b/>
        <w:bCs/>
      </w:rPr>
      <w:t>4</w:t>
    </w:r>
    <w:r w:rsidR="00244AC2">
      <w:rPr>
        <w:b/>
        <w:bCs/>
      </w:rPr>
      <w:t>/</w:t>
    </w:r>
    <w:r w:rsidR="005853D2">
      <w:rPr>
        <w:b/>
        <w:bCs/>
      </w:rPr>
      <w:t>2</w:t>
    </w:r>
    <w:r w:rsidR="006B012F">
      <w:rPr>
        <w:b/>
        <w:bCs/>
      </w:rPr>
      <w:t>2</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59E6"/>
    <w:rsid w:val="00017743"/>
    <w:rsid w:val="00020EC6"/>
    <w:rsid w:val="00024131"/>
    <w:rsid w:val="000318F6"/>
    <w:rsid w:val="00034980"/>
    <w:rsid w:val="00050000"/>
    <w:rsid w:val="00056574"/>
    <w:rsid w:val="00067B18"/>
    <w:rsid w:val="000754F2"/>
    <w:rsid w:val="00080978"/>
    <w:rsid w:val="00081829"/>
    <w:rsid w:val="00081B47"/>
    <w:rsid w:val="00084781"/>
    <w:rsid w:val="0008798F"/>
    <w:rsid w:val="00087DCC"/>
    <w:rsid w:val="000922B2"/>
    <w:rsid w:val="000962D6"/>
    <w:rsid w:val="00097CA7"/>
    <w:rsid w:val="000A4CD8"/>
    <w:rsid w:val="000A7F18"/>
    <w:rsid w:val="000B43CE"/>
    <w:rsid w:val="000B4818"/>
    <w:rsid w:val="000B4BE8"/>
    <w:rsid w:val="000B77AF"/>
    <w:rsid w:val="000C5DA7"/>
    <w:rsid w:val="000D07D3"/>
    <w:rsid w:val="000E7C22"/>
    <w:rsid w:val="000F01AD"/>
    <w:rsid w:val="000F07A1"/>
    <w:rsid w:val="000F1779"/>
    <w:rsid w:val="000F3D94"/>
    <w:rsid w:val="000F535A"/>
    <w:rsid w:val="00107B48"/>
    <w:rsid w:val="00107B91"/>
    <w:rsid w:val="0011052D"/>
    <w:rsid w:val="00117A8F"/>
    <w:rsid w:val="001210CD"/>
    <w:rsid w:val="00130D9C"/>
    <w:rsid w:val="00131236"/>
    <w:rsid w:val="00132B57"/>
    <w:rsid w:val="00132FA1"/>
    <w:rsid w:val="001344F7"/>
    <w:rsid w:val="0013545F"/>
    <w:rsid w:val="001436EB"/>
    <w:rsid w:val="00143BFC"/>
    <w:rsid w:val="001446CB"/>
    <w:rsid w:val="00144E84"/>
    <w:rsid w:val="0014728D"/>
    <w:rsid w:val="00152556"/>
    <w:rsid w:val="00152A73"/>
    <w:rsid w:val="00155441"/>
    <w:rsid w:val="0016162F"/>
    <w:rsid w:val="00162FB4"/>
    <w:rsid w:val="00163F93"/>
    <w:rsid w:val="00165012"/>
    <w:rsid w:val="00167540"/>
    <w:rsid w:val="00177713"/>
    <w:rsid w:val="00182EA7"/>
    <w:rsid w:val="00187690"/>
    <w:rsid w:val="00187F0C"/>
    <w:rsid w:val="00192B2C"/>
    <w:rsid w:val="00193E34"/>
    <w:rsid w:val="00197100"/>
    <w:rsid w:val="001A45E3"/>
    <w:rsid w:val="001A4D1F"/>
    <w:rsid w:val="001B04B6"/>
    <w:rsid w:val="001B09ED"/>
    <w:rsid w:val="001B22A7"/>
    <w:rsid w:val="001B26A3"/>
    <w:rsid w:val="001C391E"/>
    <w:rsid w:val="001C3DDF"/>
    <w:rsid w:val="001C4AB5"/>
    <w:rsid w:val="001C597C"/>
    <w:rsid w:val="001C6607"/>
    <w:rsid w:val="001C7934"/>
    <w:rsid w:val="001D0A79"/>
    <w:rsid w:val="001E1419"/>
    <w:rsid w:val="001E4B92"/>
    <w:rsid w:val="001E76A4"/>
    <w:rsid w:val="001E7B93"/>
    <w:rsid w:val="001F2AB9"/>
    <w:rsid w:val="001F2D5C"/>
    <w:rsid w:val="001F48B4"/>
    <w:rsid w:val="001F4EC3"/>
    <w:rsid w:val="001F7BB8"/>
    <w:rsid w:val="00211D67"/>
    <w:rsid w:val="00214B5D"/>
    <w:rsid w:val="00214C47"/>
    <w:rsid w:val="00230F42"/>
    <w:rsid w:val="00230F5B"/>
    <w:rsid w:val="00233B07"/>
    <w:rsid w:val="00236DD7"/>
    <w:rsid w:val="00240F3E"/>
    <w:rsid w:val="002423D5"/>
    <w:rsid w:val="00243AB9"/>
    <w:rsid w:val="00244AC2"/>
    <w:rsid w:val="00244DEE"/>
    <w:rsid w:val="002462E4"/>
    <w:rsid w:val="00246462"/>
    <w:rsid w:val="00250929"/>
    <w:rsid w:val="00254F83"/>
    <w:rsid w:val="002553BF"/>
    <w:rsid w:val="002617F6"/>
    <w:rsid w:val="0026318F"/>
    <w:rsid w:val="00265DC3"/>
    <w:rsid w:val="00273895"/>
    <w:rsid w:val="0027429E"/>
    <w:rsid w:val="002751A0"/>
    <w:rsid w:val="002755BC"/>
    <w:rsid w:val="00276CC9"/>
    <w:rsid w:val="00283584"/>
    <w:rsid w:val="00286AC6"/>
    <w:rsid w:val="00291447"/>
    <w:rsid w:val="002933BB"/>
    <w:rsid w:val="00295923"/>
    <w:rsid w:val="002A113B"/>
    <w:rsid w:val="002B1502"/>
    <w:rsid w:val="002B314F"/>
    <w:rsid w:val="002B381B"/>
    <w:rsid w:val="002B4520"/>
    <w:rsid w:val="002B7220"/>
    <w:rsid w:val="002B7B38"/>
    <w:rsid w:val="002C152B"/>
    <w:rsid w:val="002C464F"/>
    <w:rsid w:val="002C7BE5"/>
    <w:rsid w:val="002D084A"/>
    <w:rsid w:val="002D1A28"/>
    <w:rsid w:val="002D3535"/>
    <w:rsid w:val="002D6614"/>
    <w:rsid w:val="002E0D32"/>
    <w:rsid w:val="002E6546"/>
    <w:rsid w:val="002F7B15"/>
    <w:rsid w:val="0030254A"/>
    <w:rsid w:val="003043DA"/>
    <w:rsid w:val="003052AD"/>
    <w:rsid w:val="003068AD"/>
    <w:rsid w:val="00314723"/>
    <w:rsid w:val="00325690"/>
    <w:rsid w:val="003266B1"/>
    <w:rsid w:val="00326763"/>
    <w:rsid w:val="00326770"/>
    <w:rsid w:val="00330F6F"/>
    <w:rsid w:val="00331202"/>
    <w:rsid w:val="003330DA"/>
    <w:rsid w:val="00336B91"/>
    <w:rsid w:val="003400F3"/>
    <w:rsid w:val="00341F5C"/>
    <w:rsid w:val="00342A6A"/>
    <w:rsid w:val="003464A5"/>
    <w:rsid w:val="003544CB"/>
    <w:rsid w:val="0035478A"/>
    <w:rsid w:val="003566B3"/>
    <w:rsid w:val="00357966"/>
    <w:rsid w:val="0036703E"/>
    <w:rsid w:val="0037017B"/>
    <w:rsid w:val="003703E1"/>
    <w:rsid w:val="0037177A"/>
    <w:rsid w:val="00372D55"/>
    <w:rsid w:val="00374635"/>
    <w:rsid w:val="00376D75"/>
    <w:rsid w:val="00377DD0"/>
    <w:rsid w:val="0038190B"/>
    <w:rsid w:val="00382763"/>
    <w:rsid w:val="00383592"/>
    <w:rsid w:val="003848BC"/>
    <w:rsid w:val="0038560F"/>
    <w:rsid w:val="0038685E"/>
    <w:rsid w:val="003A0C8A"/>
    <w:rsid w:val="003A3F76"/>
    <w:rsid w:val="003A5D8B"/>
    <w:rsid w:val="003B1F1D"/>
    <w:rsid w:val="003B43FD"/>
    <w:rsid w:val="003B6084"/>
    <w:rsid w:val="003C0923"/>
    <w:rsid w:val="003C2607"/>
    <w:rsid w:val="003C57BD"/>
    <w:rsid w:val="003C62C9"/>
    <w:rsid w:val="003C6679"/>
    <w:rsid w:val="003D127D"/>
    <w:rsid w:val="003D1933"/>
    <w:rsid w:val="003D2070"/>
    <w:rsid w:val="003D35A4"/>
    <w:rsid w:val="003E3D91"/>
    <w:rsid w:val="003F0F10"/>
    <w:rsid w:val="003F3472"/>
    <w:rsid w:val="003F7317"/>
    <w:rsid w:val="00402E73"/>
    <w:rsid w:val="0040324B"/>
    <w:rsid w:val="0040459C"/>
    <w:rsid w:val="00406B4D"/>
    <w:rsid w:val="0041080F"/>
    <w:rsid w:val="00411D7E"/>
    <w:rsid w:val="004126BD"/>
    <w:rsid w:val="00413B7D"/>
    <w:rsid w:val="00413BF1"/>
    <w:rsid w:val="0042137C"/>
    <w:rsid w:val="00423040"/>
    <w:rsid w:val="0042580E"/>
    <w:rsid w:val="00426C68"/>
    <w:rsid w:val="004302E9"/>
    <w:rsid w:val="00430B9B"/>
    <w:rsid w:val="004318DF"/>
    <w:rsid w:val="00432781"/>
    <w:rsid w:val="00436297"/>
    <w:rsid w:val="00443E66"/>
    <w:rsid w:val="004442B2"/>
    <w:rsid w:val="00444A7B"/>
    <w:rsid w:val="00452F34"/>
    <w:rsid w:val="00454895"/>
    <w:rsid w:val="00455374"/>
    <w:rsid w:val="00456676"/>
    <w:rsid w:val="0046365B"/>
    <w:rsid w:val="0047382D"/>
    <w:rsid w:val="004772D1"/>
    <w:rsid w:val="00487438"/>
    <w:rsid w:val="0048755E"/>
    <w:rsid w:val="00492060"/>
    <w:rsid w:val="00492244"/>
    <w:rsid w:val="004942DE"/>
    <w:rsid w:val="004979E6"/>
    <w:rsid w:val="004A0E9C"/>
    <w:rsid w:val="004A7F19"/>
    <w:rsid w:val="004B5B57"/>
    <w:rsid w:val="004C12B3"/>
    <w:rsid w:val="004C2BE7"/>
    <w:rsid w:val="004C3E47"/>
    <w:rsid w:val="004C4765"/>
    <w:rsid w:val="004C7502"/>
    <w:rsid w:val="004C76AA"/>
    <w:rsid w:val="004D450E"/>
    <w:rsid w:val="004D4FA4"/>
    <w:rsid w:val="004E0976"/>
    <w:rsid w:val="004E2029"/>
    <w:rsid w:val="004E46D2"/>
    <w:rsid w:val="004E7042"/>
    <w:rsid w:val="004F0459"/>
    <w:rsid w:val="004F0AF9"/>
    <w:rsid w:val="004F14CC"/>
    <w:rsid w:val="004F15C4"/>
    <w:rsid w:val="00514C02"/>
    <w:rsid w:val="00515914"/>
    <w:rsid w:val="0052200B"/>
    <w:rsid w:val="00525269"/>
    <w:rsid w:val="005266CE"/>
    <w:rsid w:val="0053009C"/>
    <w:rsid w:val="00532255"/>
    <w:rsid w:val="005327FA"/>
    <w:rsid w:val="00541332"/>
    <w:rsid w:val="00542A9C"/>
    <w:rsid w:val="00543E24"/>
    <w:rsid w:val="005508F4"/>
    <w:rsid w:val="00553069"/>
    <w:rsid w:val="00554134"/>
    <w:rsid w:val="005546A3"/>
    <w:rsid w:val="00555551"/>
    <w:rsid w:val="00555B53"/>
    <w:rsid w:val="00556572"/>
    <w:rsid w:val="00566A9E"/>
    <w:rsid w:val="005675B8"/>
    <w:rsid w:val="00572689"/>
    <w:rsid w:val="00573EC5"/>
    <w:rsid w:val="00576DB0"/>
    <w:rsid w:val="00580467"/>
    <w:rsid w:val="00583B87"/>
    <w:rsid w:val="005853D2"/>
    <w:rsid w:val="0059235C"/>
    <w:rsid w:val="005A0780"/>
    <w:rsid w:val="005A4BEA"/>
    <w:rsid w:val="005A5019"/>
    <w:rsid w:val="005B3D08"/>
    <w:rsid w:val="005B7B54"/>
    <w:rsid w:val="005C004B"/>
    <w:rsid w:val="005C1212"/>
    <w:rsid w:val="005C219C"/>
    <w:rsid w:val="005D2C50"/>
    <w:rsid w:val="005D7EEA"/>
    <w:rsid w:val="005E0AFC"/>
    <w:rsid w:val="005E1D15"/>
    <w:rsid w:val="005E1EFF"/>
    <w:rsid w:val="005F0247"/>
    <w:rsid w:val="005F1768"/>
    <w:rsid w:val="005F2EA4"/>
    <w:rsid w:val="005F574A"/>
    <w:rsid w:val="00600199"/>
    <w:rsid w:val="006067FE"/>
    <w:rsid w:val="00606C3A"/>
    <w:rsid w:val="00617B96"/>
    <w:rsid w:val="00625988"/>
    <w:rsid w:val="00627921"/>
    <w:rsid w:val="006306B8"/>
    <w:rsid w:val="006377A8"/>
    <w:rsid w:val="00641545"/>
    <w:rsid w:val="006415EC"/>
    <w:rsid w:val="00644213"/>
    <w:rsid w:val="006465DF"/>
    <w:rsid w:val="00647A39"/>
    <w:rsid w:val="0065019D"/>
    <w:rsid w:val="0065115A"/>
    <w:rsid w:val="00651478"/>
    <w:rsid w:val="006519E3"/>
    <w:rsid w:val="006552BE"/>
    <w:rsid w:val="00655A0A"/>
    <w:rsid w:val="00657121"/>
    <w:rsid w:val="00662623"/>
    <w:rsid w:val="00663894"/>
    <w:rsid w:val="006676FA"/>
    <w:rsid w:val="00675327"/>
    <w:rsid w:val="006872A7"/>
    <w:rsid w:val="0069256A"/>
    <w:rsid w:val="0069461B"/>
    <w:rsid w:val="00694E41"/>
    <w:rsid w:val="006951FF"/>
    <w:rsid w:val="006A061A"/>
    <w:rsid w:val="006A30D3"/>
    <w:rsid w:val="006A43FC"/>
    <w:rsid w:val="006A498D"/>
    <w:rsid w:val="006A4D20"/>
    <w:rsid w:val="006A55B4"/>
    <w:rsid w:val="006A7CE2"/>
    <w:rsid w:val="006B0110"/>
    <w:rsid w:val="006B012F"/>
    <w:rsid w:val="006B615E"/>
    <w:rsid w:val="006C72A7"/>
    <w:rsid w:val="006C7BCA"/>
    <w:rsid w:val="006D1801"/>
    <w:rsid w:val="006D1B26"/>
    <w:rsid w:val="006D2292"/>
    <w:rsid w:val="006E1E0A"/>
    <w:rsid w:val="006E1E0D"/>
    <w:rsid w:val="006E32EB"/>
    <w:rsid w:val="006E505B"/>
    <w:rsid w:val="006E6E2B"/>
    <w:rsid w:val="006F1729"/>
    <w:rsid w:val="006F4334"/>
    <w:rsid w:val="006F64ED"/>
    <w:rsid w:val="007018F5"/>
    <w:rsid w:val="00701DC2"/>
    <w:rsid w:val="00703E4F"/>
    <w:rsid w:val="00710B2D"/>
    <w:rsid w:val="00714811"/>
    <w:rsid w:val="007202FD"/>
    <w:rsid w:val="007220C1"/>
    <w:rsid w:val="007228AC"/>
    <w:rsid w:val="007255E1"/>
    <w:rsid w:val="00726B29"/>
    <w:rsid w:val="00727C3C"/>
    <w:rsid w:val="00730F86"/>
    <w:rsid w:val="00736A80"/>
    <w:rsid w:val="00751548"/>
    <w:rsid w:val="007520F1"/>
    <w:rsid w:val="00754D72"/>
    <w:rsid w:val="0075617C"/>
    <w:rsid w:val="00762583"/>
    <w:rsid w:val="00767B52"/>
    <w:rsid w:val="00772B09"/>
    <w:rsid w:val="007745D2"/>
    <w:rsid w:val="00774EB9"/>
    <w:rsid w:val="00776FD9"/>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10B1"/>
    <w:rsid w:val="007B2889"/>
    <w:rsid w:val="007B643B"/>
    <w:rsid w:val="007C0F76"/>
    <w:rsid w:val="007C1232"/>
    <w:rsid w:val="007C4009"/>
    <w:rsid w:val="007C4A69"/>
    <w:rsid w:val="007C56A2"/>
    <w:rsid w:val="007D0941"/>
    <w:rsid w:val="007D25F9"/>
    <w:rsid w:val="007D3AFD"/>
    <w:rsid w:val="007D5915"/>
    <w:rsid w:val="007D7388"/>
    <w:rsid w:val="007D7F74"/>
    <w:rsid w:val="007E13BA"/>
    <w:rsid w:val="007E57CF"/>
    <w:rsid w:val="007F08CD"/>
    <w:rsid w:val="007F2D63"/>
    <w:rsid w:val="007F364E"/>
    <w:rsid w:val="007F4BE8"/>
    <w:rsid w:val="007F4EFA"/>
    <w:rsid w:val="007F5959"/>
    <w:rsid w:val="007F7497"/>
    <w:rsid w:val="0080526C"/>
    <w:rsid w:val="0081018E"/>
    <w:rsid w:val="008102C8"/>
    <w:rsid w:val="00810F22"/>
    <w:rsid w:val="008127E3"/>
    <w:rsid w:val="00815DC2"/>
    <w:rsid w:val="0082085D"/>
    <w:rsid w:val="00827A69"/>
    <w:rsid w:val="00831400"/>
    <w:rsid w:val="00831B31"/>
    <w:rsid w:val="00831B75"/>
    <w:rsid w:val="00836F59"/>
    <w:rsid w:val="00837E3C"/>
    <w:rsid w:val="00840179"/>
    <w:rsid w:val="00847E49"/>
    <w:rsid w:val="00850956"/>
    <w:rsid w:val="00855B81"/>
    <w:rsid w:val="008564D5"/>
    <w:rsid w:val="00857E07"/>
    <w:rsid w:val="00861AD6"/>
    <w:rsid w:val="00870963"/>
    <w:rsid w:val="0087121F"/>
    <w:rsid w:val="0087428A"/>
    <w:rsid w:val="008762D4"/>
    <w:rsid w:val="0087711B"/>
    <w:rsid w:val="00881064"/>
    <w:rsid w:val="00885801"/>
    <w:rsid w:val="00886070"/>
    <w:rsid w:val="0088611F"/>
    <w:rsid w:val="0088680E"/>
    <w:rsid w:val="0088735A"/>
    <w:rsid w:val="008900BF"/>
    <w:rsid w:val="008903BC"/>
    <w:rsid w:val="00890813"/>
    <w:rsid w:val="00891EEE"/>
    <w:rsid w:val="00892918"/>
    <w:rsid w:val="008A6AEC"/>
    <w:rsid w:val="008B2621"/>
    <w:rsid w:val="008B4AFC"/>
    <w:rsid w:val="008B523D"/>
    <w:rsid w:val="008B546D"/>
    <w:rsid w:val="008B7D07"/>
    <w:rsid w:val="008C0E29"/>
    <w:rsid w:val="008C1E6D"/>
    <w:rsid w:val="008C5D95"/>
    <w:rsid w:val="008D5F66"/>
    <w:rsid w:val="008D6A1E"/>
    <w:rsid w:val="008E1237"/>
    <w:rsid w:val="008E6F3B"/>
    <w:rsid w:val="008E7AB0"/>
    <w:rsid w:val="009046A0"/>
    <w:rsid w:val="00905B3F"/>
    <w:rsid w:val="00911B86"/>
    <w:rsid w:val="00912747"/>
    <w:rsid w:val="00913195"/>
    <w:rsid w:val="009148A8"/>
    <w:rsid w:val="00915FA4"/>
    <w:rsid w:val="00922830"/>
    <w:rsid w:val="009233F1"/>
    <w:rsid w:val="00931C2E"/>
    <w:rsid w:val="00932741"/>
    <w:rsid w:val="00933603"/>
    <w:rsid w:val="0094126D"/>
    <w:rsid w:val="00947DB0"/>
    <w:rsid w:val="009562BC"/>
    <w:rsid w:val="0096099E"/>
    <w:rsid w:val="00961994"/>
    <w:rsid w:val="009619EB"/>
    <w:rsid w:val="00961E7B"/>
    <w:rsid w:val="00964582"/>
    <w:rsid w:val="00964E40"/>
    <w:rsid w:val="00973EB7"/>
    <w:rsid w:val="009805B6"/>
    <w:rsid w:val="0098506F"/>
    <w:rsid w:val="00985302"/>
    <w:rsid w:val="0098599F"/>
    <w:rsid w:val="0098604A"/>
    <w:rsid w:val="0098636E"/>
    <w:rsid w:val="00986449"/>
    <w:rsid w:val="009906C4"/>
    <w:rsid w:val="00992392"/>
    <w:rsid w:val="0099423E"/>
    <w:rsid w:val="00994AD6"/>
    <w:rsid w:val="00994B55"/>
    <w:rsid w:val="009A3EA1"/>
    <w:rsid w:val="009A4AFA"/>
    <w:rsid w:val="009A5368"/>
    <w:rsid w:val="009B14D5"/>
    <w:rsid w:val="009B22FE"/>
    <w:rsid w:val="009B2D1F"/>
    <w:rsid w:val="009B2F9C"/>
    <w:rsid w:val="009B3F92"/>
    <w:rsid w:val="009B50BA"/>
    <w:rsid w:val="009B5889"/>
    <w:rsid w:val="009C2B67"/>
    <w:rsid w:val="009C3DD6"/>
    <w:rsid w:val="009D3B5B"/>
    <w:rsid w:val="009D571F"/>
    <w:rsid w:val="009D77A9"/>
    <w:rsid w:val="009E0104"/>
    <w:rsid w:val="009E17B4"/>
    <w:rsid w:val="009E29CF"/>
    <w:rsid w:val="009E4A9A"/>
    <w:rsid w:val="009E50E2"/>
    <w:rsid w:val="009E6293"/>
    <w:rsid w:val="009E6FE9"/>
    <w:rsid w:val="009E77A0"/>
    <w:rsid w:val="009E7DB8"/>
    <w:rsid w:val="009F3A38"/>
    <w:rsid w:val="009F6C1C"/>
    <w:rsid w:val="009F7D1C"/>
    <w:rsid w:val="00A02748"/>
    <w:rsid w:val="00A0659A"/>
    <w:rsid w:val="00A07E7B"/>
    <w:rsid w:val="00A104B7"/>
    <w:rsid w:val="00A12B14"/>
    <w:rsid w:val="00A2123A"/>
    <w:rsid w:val="00A2349E"/>
    <w:rsid w:val="00A23524"/>
    <w:rsid w:val="00A26BD7"/>
    <w:rsid w:val="00A3059F"/>
    <w:rsid w:val="00A308F0"/>
    <w:rsid w:val="00A35244"/>
    <w:rsid w:val="00A3624B"/>
    <w:rsid w:val="00A3682B"/>
    <w:rsid w:val="00A37187"/>
    <w:rsid w:val="00A449F0"/>
    <w:rsid w:val="00A46411"/>
    <w:rsid w:val="00A50BA2"/>
    <w:rsid w:val="00A51E34"/>
    <w:rsid w:val="00A61750"/>
    <w:rsid w:val="00A61864"/>
    <w:rsid w:val="00A625CB"/>
    <w:rsid w:val="00A65921"/>
    <w:rsid w:val="00A65BD5"/>
    <w:rsid w:val="00A67574"/>
    <w:rsid w:val="00A76ED0"/>
    <w:rsid w:val="00A77812"/>
    <w:rsid w:val="00A82390"/>
    <w:rsid w:val="00A86A1A"/>
    <w:rsid w:val="00A90B13"/>
    <w:rsid w:val="00A92218"/>
    <w:rsid w:val="00AA0A93"/>
    <w:rsid w:val="00AA5CA1"/>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F0520"/>
    <w:rsid w:val="00AF4EFD"/>
    <w:rsid w:val="00B01EDC"/>
    <w:rsid w:val="00B032E3"/>
    <w:rsid w:val="00B13136"/>
    <w:rsid w:val="00B1398D"/>
    <w:rsid w:val="00B13D49"/>
    <w:rsid w:val="00B1600D"/>
    <w:rsid w:val="00B1652A"/>
    <w:rsid w:val="00B176D4"/>
    <w:rsid w:val="00B203DA"/>
    <w:rsid w:val="00B21289"/>
    <w:rsid w:val="00B26891"/>
    <w:rsid w:val="00B35449"/>
    <w:rsid w:val="00B376DC"/>
    <w:rsid w:val="00B40A87"/>
    <w:rsid w:val="00B4214A"/>
    <w:rsid w:val="00B641C5"/>
    <w:rsid w:val="00B6647F"/>
    <w:rsid w:val="00B7272C"/>
    <w:rsid w:val="00B73EFC"/>
    <w:rsid w:val="00B756DB"/>
    <w:rsid w:val="00B77A45"/>
    <w:rsid w:val="00B80A59"/>
    <w:rsid w:val="00B85BC2"/>
    <w:rsid w:val="00B9062F"/>
    <w:rsid w:val="00B91AAF"/>
    <w:rsid w:val="00B9322F"/>
    <w:rsid w:val="00B946FA"/>
    <w:rsid w:val="00B96036"/>
    <w:rsid w:val="00BA042C"/>
    <w:rsid w:val="00BA29BA"/>
    <w:rsid w:val="00BA4EAD"/>
    <w:rsid w:val="00BA7942"/>
    <w:rsid w:val="00BA7F0E"/>
    <w:rsid w:val="00BB2142"/>
    <w:rsid w:val="00BB2533"/>
    <w:rsid w:val="00BB31B8"/>
    <w:rsid w:val="00BB661B"/>
    <w:rsid w:val="00BB6DC8"/>
    <w:rsid w:val="00BB6FFE"/>
    <w:rsid w:val="00BC00A1"/>
    <w:rsid w:val="00BC1BE5"/>
    <w:rsid w:val="00BC3FD8"/>
    <w:rsid w:val="00BC4715"/>
    <w:rsid w:val="00BC5B1E"/>
    <w:rsid w:val="00BC7C46"/>
    <w:rsid w:val="00BD209A"/>
    <w:rsid w:val="00BD3030"/>
    <w:rsid w:val="00BD3EF4"/>
    <w:rsid w:val="00BD4952"/>
    <w:rsid w:val="00BD5F4B"/>
    <w:rsid w:val="00BD7542"/>
    <w:rsid w:val="00BE09CD"/>
    <w:rsid w:val="00BE3D88"/>
    <w:rsid w:val="00BE53BC"/>
    <w:rsid w:val="00BF00CA"/>
    <w:rsid w:val="00BF23CB"/>
    <w:rsid w:val="00C01912"/>
    <w:rsid w:val="00C0414E"/>
    <w:rsid w:val="00C060E7"/>
    <w:rsid w:val="00C11C4B"/>
    <w:rsid w:val="00C21DA2"/>
    <w:rsid w:val="00C230FD"/>
    <w:rsid w:val="00C26A33"/>
    <w:rsid w:val="00C26BF3"/>
    <w:rsid w:val="00C35470"/>
    <w:rsid w:val="00C40591"/>
    <w:rsid w:val="00C44481"/>
    <w:rsid w:val="00C450DB"/>
    <w:rsid w:val="00C50194"/>
    <w:rsid w:val="00C51D80"/>
    <w:rsid w:val="00C53EA1"/>
    <w:rsid w:val="00C71432"/>
    <w:rsid w:val="00C71A92"/>
    <w:rsid w:val="00C7569F"/>
    <w:rsid w:val="00C76110"/>
    <w:rsid w:val="00C767B1"/>
    <w:rsid w:val="00C813F1"/>
    <w:rsid w:val="00C83EF9"/>
    <w:rsid w:val="00C84AAC"/>
    <w:rsid w:val="00C93453"/>
    <w:rsid w:val="00C93D1A"/>
    <w:rsid w:val="00CA14BE"/>
    <w:rsid w:val="00CA3C76"/>
    <w:rsid w:val="00CA7528"/>
    <w:rsid w:val="00CB01C1"/>
    <w:rsid w:val="00CB44D4"/>
    <w:rsid w:val="00CB4E50"/>
    <w:rsid w:val="00CB5395"/>
    <w:rsid w:val="00CB5503"/>
    <w:rsid w:val="00CB6864"/>
    <w:rsid w:val="00CC37CC"/>
    <w:rsid w:val="00CC6643"/>
    <w:rsid w:val="00CC6F83"/>
    <w:rsid w:val="00CD08E4"/>
    <w:rsid w:val="00CD100E"/>
    <w:rsid w:val="00CD1986"/>
    <w:rsid w:val="00CD4E29"/>
    <w:rsid w:val="00CE1F1B"/>
    <w:rsid w:val="00CE2A0A"/>
    <w:rsid w:val="00CE331D"/>
    <w:rsid w:val="00CE59B4"/>
    <w:rsid w:val="00CF2D74"/>
    <w:rsid w:val="00CF3C4B"/>
    <w:rsid w:val="00CF4165"/>
    <w:rsid w:val="00CF4234"/>
    <w:rsid w:val="00CF4CB2"/>
    <w:rsid w:val="00D00992"/>
    <w:rsid w:val="00D01285"/>
    <w:rsid w:val="00D05383"/>
    <w:rsid w:val="00D056B4"/>
    <w:rsid w:val="00D11DB6"/>
    <w:rsid w:val="00D147F2"/>
    <w:rsid w:val="00D164B0"/>
    <w:rsid w:val="00D224E6"/>
    <w:rsid w:val="00D2265D"/>
    <w:rsid w:val="00D23DA3"/>
    <w:rsid w:val="00D25418"/>
    <w:rsid w:val="00D26DC9"/>
    <w:rsid w:val="00D27E63"/>
    <w:rsid w:val="00D30F03"/>
    <w:rsid w:val="00D31AA2"/>
    <w:rsid w:val="00D31E8F"/>
    <w:rsid w:val="00D364AD"/>
    <w:rsid w:val="00D37C77"/>
    <w:rsid w:val="00D4095D"/>
    <w:rsid w:val="00D45951"/>
    <w:rsid w:val="00D4620E"/>
    <w:rsid w:val="00D47A61"/>
    <w:rsid w:val="00D47CC0"/>
    <w:rsid w:val="00D51301"/>
    <w:rsid w:val="00D5259B"/>
    <w:rsid w:val="00D53CFD"/>
    <w:rsid w:val="00D543FA"/>
    <w:rsid w:val="00D54526"/>
    <w:rsid w:val="00D603B9"/>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6B4F"/>
    <w:rsid w:val="00DB0ED0"/>
    <w:rsid w:val="00DB2846"/>
    <w:rsid w:val="00DB71C7"/>
    <w:rsid w:val="00DC0D17"/>
    <w:rsid w:val="00DC161B"/>
    <w:rsid w:val="00DC29CB"/>
    <w:rsid w:val="00DC671E"/>
    <w:rsid w:val="00DD07FB"/>
    <w:rsid w:val="00DD48C3"/>
    <w:rsid w:val="00DD60CF"/>
    <w:rsid w:val="00DD7FEA"/>
    <w:rsid w:val="00DE07EA"/>
    <w:rsid w:val="00DE2A62"/>
    <w:rsid w:val="00DE419F"/>
    <w:rsid w:val="00DE5B99"/>
    <w:rsid w:val="00DE6543"/>
    <w:rsid w:val="00DF1088"/>
    <w:rsid w:val="00DF120B"/>
    <w:rsid w:val="00DF5149"/>
    <w:rsid w:val="00E00B36"/>
    <w:rsid w:val="00E01257"/>
    <w:rsid w:val="00E019CF"/>
    <w:rsid w:val="00E01E91"/>
    <w:rsid w:val="00E10E6D"/>
    <w:rsid w:val="00E12092"/>
    <w:rsid w:val="00E16605"/>
    <w:rsid w:val="00E166A8"/>
    <w:rsid w:val="00E16EE7"/>
    <w:rsid w:val="00E172DF"/>
    <w:rsid w:val="00E17581"/>
    <w:rsid w:val="00E200DE"/>
    <w:rsid w:val="00E24074"/>
    <w:rsid w:val="00E2412D"/>
    <w:rsid w:val="00E25C83"/>
    <w:rsid w:val="00E31F55"/>
    <w:rsid w:val="00E35C15"/>
    <w:rsid w:val="00E37D85"/>
    <w:rsid w:val="00E50E99"/>
    <w:rsid w:val="00E55C4A"/>
    <w:rsid w:val="00E55E26"/>
    <w:rsid w:val="00E62337"/>
    <w:rsid w:val="00E62B4F"/>
    <w:rsid w:val="00E638EE"/>
    <w:rsid w:val="00E713E1"/>
    <w:rsid w:val="00E73AAD"/>
    <w:rsid w:val="00E77C8D"/>
    <w:rsid w:val="00E803DD"/>
    <w:rsid w:val="00E8217F"/>
    <w:rsid w:val="00E84F63"/>
    <w:rsid w:val="00E87C82"/>
    <w:rsid w:val="00E92351"/>
    <w:rsid w:val="00E96346"/>
    <w:rsid w:val="00EA1192"/>
    <w:rsid w:val="00EA1D37"/>
    <w:rsid w:val="00EA4E63"/>
    <w:rsid w:val="00EA6095"/>
    <w:rsid w:val="00EB0092"/>
    <w:rsid w:val="00EB257F"/>
    <w:rsid w:val="00EB3E2B"/>
    <w:rsid w:val="00EB4472"/>
    <w:rsid w:val="00EB5BEF"/>
    <w:rsid w:val="00EB6791"/>
    <w:rsid w:val="00EB7085"/>
    <w:rsid w:val="00EB709A"/>
    <w:rsid w:val="00EC339E"/>
    <w:rsid w:val="00EC4054"/>
    <w:rsid w:val="00EC6CF5"/>
    <w:rsid w:val="00ED05E0"/>
    <w:rsid w:val="00ED4317"/>
    <w:rsid w:val="00ED439A"/>
    <w:rsid w:val="00ED5A81"/>
    <w:rsid w:val="00EE1046"/>
    <w:rsid w:val="00EF3D40"/>
    <w:rsid w:val="00EF7F10"/>
    <w:rsid w:val="00F018AD"/>
    <w:rsid w:val="00F0554D"/>
    <w:rsid w:val="00F15A9B"/>
    <w:rsid w:val="00F168C1"/>
    <w:rsid w:val="00F17927"/>
    <w:rsid w:val="00F22F2F"/>
    <w:rsid w:val="00F234C2"/>
    <w:rsid w:val="00F24CF3"/>
    <w:rsid w:val="00F24DD2"/>
    <w:rsid w:val="00F252B4"/>
    <w:rsid w:val="00F26321"/>
    <w:rsid w:val="00F27D1E"/>
    <w:rsid w:val="00F27F66"/>
    <w:rsid w:val="00F33B21"/>
    <w:rsid w:val="00F4045B"/>
    <w:rsid w:val="00F432AC"/>
    <w:rsid w:val="00F46669"/>
    <w:rsid w:val="00F60A72"/>
    <w:rsid w:val="00F61BEC"/>
    <w:rsid w:val="00F62855"/>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874A5"/>
    <w:rsid w:val="00F91050"/>
    <w:rsid w:val="00FA032A"/>
    <w:rsid w:val="00FA3933"/>
    <w:rsid w:val="00FA737C"/>
    <w:rsid w:val="00FB4E99"/>
    <w:rsid w:val="00FB56DF"/>
    <w:rsid w:val="00FC1686"/>
    <w:rsid w:val="00FC43CC"/>
    <w:rsid w:val="00FD083B"/>
    <w:rsid w:val="00FD1A31"/>
    <w:rsid w:val="00FD3665"/>
    <w:rsid w:val="00FD6300"/>
    <w:rsid w:val="00FD7A7E"/>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195897348">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865218527">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63000068">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718041733">
      <w:bodyDiv w:val="1"/>
      <w:marLeft w:val="0"/>
      <w:marRight w:val="0"/>
      <w:marTop w:val="0"/>
      <w:marBottom w:val="0"/>
      <w:divBdr>
        <w:top w:val="none" w:sz="0" w:space="0" w:color="auto"/>
        <w:left w:val="none" w:sz="0" w:space="0" w:color="auto"/>
        <w:bottom w:val="none" w:sz="0" w:space="0" w:color="auto"/>
        <w:right w:val="none" w:sz="0" w:space="0" w:color="auto"/>
      </w:divBdr>
    </w:div>
    <w:div w:id="1730300747">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3D6B-B401-4E05-A086-3A63F4D1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350</TotalTime>
  <Pages>4</Pages>
  <Words>1655</Words>
  <Characters>9062</Characters>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10696</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2019-06-10T15:07:00Z</cp:lastPrinted>
  <dcterms:created xsi:type="dcterms:W3CDTF">2022-08-18T12:31:00Z</dcterms:created>
  <dcterms:modified xsi:type="dcterms:W3CDTF">2022-09-19T11:29:00Z</dcterms:modified>
</cp:coreProperties>
</file>