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D465C" w14:textId="7C951ABC" w:rsidR="007D57F7" w:rsidRDefault="00F050F0">
      <w:pPr>
        <w:jc w:val="center"/>
      </w:pPr>
      <w:r>
        <w:t>EXPOSIÇÃO DE MOTIVOS</w:t>
      </w:r>
    </w:p>
    <w:p w14:paraId="2DA1250B" w14:textId="77777777" w:rsidR="007D57F7" w:rsidRDefault="007D57F7">
      <w:pPr>
        <w:jc w:val="center"/>
        <w:rPr>
          <w:bCs/>
          <w:color w:val="000000"/>
        </w:rPr>
      </w:pPr>
    </w:p>
    <w:p w14:paraId="1A16E6F2" w14:textId="77777777" w:rsidR="007D57F7" w:rsidRDefault="007D57F7">
      <w:pPr>
        <w:jc w:val="center"/>
        <w:rPr>
          <w:bCs/>
          <w:color w:val="000000"/>
        </w:rPr>
      </w:pPr>
    </w:p>
    <w:p w14:paraId="42FC7BC9" w14:textId="584A4A9C" w:rsidR="001E3AB5" w:rsidRPr="001E3AB5" w:rsidRDefault="001E3AB5" w:rsidP="001E3AB5">
      <w:pPr>
        <w:ind w:firstLine="1418"/>
        <w:jc w:val="both"/>
        <w:rPr>
          <w:rFonts w:eastAsia="Calibri"/>
          <w:lang w:eastAsia="en-US"/>
        </w:rPr>
      </w:pPr>
      <w:r w:rsidRPr="001E3AB5">
        <w:rPr>
          <w:rFonts w:eastAsia="Calibri"/>
          <w:lang w:eastAsia="en-US"/>
        </w:rPr>
        <w:t>O assédio pode ser definido como uma manifestação sensual ou sexual alheia à vontade da pessoa a quem se dirige. Ocorre por meio de abordagens grosseiras, gestos, toques não consentidos, ofensas e propostas inadequadas que constrangem, humilham e amedrontam. Todo assédio viola a dignidade da mulher, a intimidade, a honra, os direitos e a igualdade de tratamento.</w:t>
      </w:r>
    </w:p>
    <w:p w14:paraId="1D7A820C" w14:textId="62C34A67" w:rsidR="001E3AB5" w:rsidRPr="001E3AB5" w:rsidRDefault="001E3AB5" w:rsidP="001E3AB5">
      <w:pPr>
        <w:ind w:firstLine="1418"/>
        <w:jc w:val="both"/>
        <w:rPr>
          <w:rFonts w:eastAsia="Calibri"/>
          <w:lang w:eastAsia="en-US"/>
        </w:rPr>
      </w:pPr>
      <w:r w:rsidRPr="001E3AB5">
        <w:rPr>
          <w:rFonts w:eastAsia="Calibri"/>
          <w:lang w:eastAsia="en-US"/>
        </w:rPr>
        <w:t>Bares, restaurantes e casas noturnas são ambientes onde as mulheres correm risco. De acordo com uma pesquisa divulgada em março de 2022, realizada com mais de duas mil mulheres maiores de 18 anos de todos os grupos etários, étnicos e de renda nas cinco regiões do Brasil, 66% delas afirmaram que foram assediadas de alguma forma nesses estabelecimentos. Entre as mulheres que trabalham no setor, o problema é ainda mais grave, pois 78% das entrevistadas disseram ter sofrido algum tipo de abuso. Quase metade das mulheres ouvidas (47%) disseram que o importunador insistiu no assédio mesmo sendo ignorado, enquanto 40% delas relataram ter</w:t>
      </w:r>
      <w:r>
        <w:rPr>
          <w:rFonts w:eastAsia="Calibri"/>
          <w:lang w:eastAsia="en-US"/>
        </w:rPr>
        <w:t>em</w:t>
      </w:r>
      <w:r w:rsidRPr="001E3AB5">
        <w:rPr>
          <w:rFonts w:eastAsia="Calibri"/>
          <w:lang w:eastAsia="en-US"/>
        </w:rPr>
        <w:t xml:space="preserve"> sido seguradas pelo braço ou pelo cabelo após evitar o assediador. Não bastasse isso, outras 13% foram beijadas à força e 12% foram tocadas nas partes íntimas. Cerca de metade dessas mulheres sentiram-se impotentes diante da violência e 89% nunca chegaram a denunciar as agressões. Entre os principais motivos apontados para não fazer a denúncia estão a falta de conhecimento de como proceder (24%), medo (18%) e vergonha (17%) (MARQUES, 2022).</w:t>
      </w:r>
    </w:p>
    <w:p w14:paraId="2C668D8D" w14:textId="77777777" w:rsidR="001E3AB5" w:rsidRPr="001E3AB5" w:rsidRDefault="001E3AB5" w:rsidP="001E3AB5">
      <w:pPr>
        <w:ind w:firstLine="1418"/>
        <w:jc w:val="both"/>
        <w:rPr>
          <w:rFonts w:eastAsia="Calibri"/>
          <w:lang w:eastAsia="en-US"/>
        </w:rPr>
      </w:pPr>
      <w:r w:rsidRPr="001E3AB5">
        <w:rPr>
          <w:rFonts w:eastAsia="Calibri"/>
          <w:lang w:eastAsia="en-US"/>
        </w:rPr>
        <w:t>O presente Projeto de Lei objetiva, portanto, o auxílio e proteção à mulher vítima de assédio sexual no interior de bares, cafés, quiosques, complexos e centros gastronômicos, restaurantes, casas noturnas, espaços de eventos e de shows, ambientes assemelhados e do setor de hospitalidade e demais congêneres. Pelos dados acima mencionados resta evidente que é de extrema importância que os estabelecimentos prestem auxílio e amparo à mulher – tanto frequentadora quanto trabalhadora – submetida a situações de risco, vulnerabilidade ou violência.</w:t>
      </w:r>
    </w:p>
    <w:p w14:paraId="47191D8E" w14:textId="77777777" w:rsidR="001E3AB5" w:rsidRPr="001E3AB5" w:rsidRDefault="001E3AB5" w:rsidP="001E3AB5">
      <w:pPr>
        <w:ind w:firstLine="1418"/>
        <w:jc w:val="both"/>
        <w:rPr>
          <w:rFonts w:eastAsia="Calibri"/>
          <w:lang w:eastAsia="en-US"/>
        </w:rPr>
      </w:pPr>
      <w:r w:rsidRPr="001E3AB5">
        <w:rPr>
          <w:rFonts w:eastAsia="Calibri"/>
          <w:lang w:eastAsia="en-US"/>
        </w:rPr>
        <w:t>Além disso, tais procedimentos podem transformar-se em oportunidades de reduzir a cultura da violência e trabalhar aspectos de conscientização sobre a proteção da mulher.</w:t>
      </w:r>
    </w:p>
    <w:p w14:paraId="05E07C6A" w14:textId="351D208F" w:rsidR="001E3AB5" w:rsidRPr="001E3AB5" w:rsidRDefault="001E3AB5" w:rsidP="001E3AB5">
      <w:pPr>
        <w:ind w:firstLine="1418"/>
        <w:jc w:val="both"/>
        <w:rPr>
          <w:rFonts w:eastAsia="Calibri"/>
          <w:lang w:eastAsia="en-US"/>
        </w:rPr>
      </w:pPr>
      <w:r>
        <w:rPr>
          <w:rFonts w:eastAsia="Calibri"/>
          <w:lang w:eastAsia="en-US"/>
        </w:rPr>
        <w:t>Sala das Sessões, 27 de julho de 2022.</w:t>
      </w:r>
    </w:p>
    <w:p w14:paraId="10119DA4" w14:textId="77777777" w:rsidR="001E3AB5" w:rsidRPr="001E3AB5" w:rsidRDefault="001E3AB5" w:rsidP="001E3AB5">
      <w:pPr>
        <w:ind w:firstLine="1418"/>
        <w:jc w:val="both"/>
        <w:rPr>
          <w:rFonts w:eastAsia="Calibri"/>
          <w:lang w:eastAsia="en-US"/>
        </w:rPr>
      </w:pPr>
    </w:p>
    <w:p w14:paraId="0ED959B9" w14:textId="77777777" w:rsidR="001E3AB5" w:rsidRPr="001E3AB5" w:rsidRDefault="001E3AB5" w:rsidP="001E3AB5">
      <w:pPr>
        <w:ind w:firstLine="1418"/>
        <w:jc w:val="both"/>
        <w:rPr>
          <w:rFonts w:eastAsia="Calibri"/>
          <w:lang w:eastAsia="en-US"/>
        </w:rPr>
      </w:pPr>
      <w:r w:rsidRPr="001E3AB5">
        <w:rPr>
          <w:rFonts w:eastAsia="Calibri"/>
          <w:lang w:eastAsia="en-US"/>
        </w:rPr>
        <w:t>REFERÊNCIA</w:t>
      </w:r>
    </w:p>
    <w:p w14:paraId="0C3762BD" w14:textId="77777777" w:rsidR="001E3AB5" w:rsidRDefault="001E3AB5" w:rsidP="001E3AB5">
      <w:pPr>
        <w:ind w:firstLine="1418"/>
        <w:jc w:val="both"/>
        <w:rPr>
          <w:rFonts w:eastAsia="Calibri"/>
          <w:lang w:eastAsia="en-US"/>
        </w:rPr>
      </w:pPr>
    </w:p>
    <w:p w14:paraId="05C9CAF1" w14:textId="7F481AC1" w:rsidR="007D57F7" w:rsidRDefault="001E3AB5" w:rsidP="001E3AB5">
      <w:pPr>
        <w:ind w:firstLine="1418"/>
        <w:jc w:val="both"/>
        <w:rPr>
          <w:rFonts w:eastAsia="Calibri"/>
          <w:lang w:eastAsia="en-US"/>
        </w:rPr>
      </w:pPr>
      <w:r w:rsidRPr="001E3AB5">
        <w:rPr>
          <w:rFonts w:eastAsia="Calibri"/>
          <w:lang w:eastAsia="en-US"/>
        </w:rPr>
        <w:t xml:space="preserve">MARQUES, Pedro. 2 em cada 3 brasileiras já foram assediadas em bares e restaurantes. </w:t>
      </w:r>
      <w:r w:rsidRPr="001E3AB5">
        <w:rPr>
          <w:rFonts w:eastAsia="Calibri"/>
          <w:b/>
          <w:bCs/>
          <w:lang w:eastAsia="en-US"/>
        </w:rPr>
        <w:t>Revista Menu</w:t>
      </w:r>
      <w:r w:rsidRPr="001E3AB5">
        <w:rPr>
          <w:rFonts w:eastAsia="Calibri"/>
          <w:lang w:eastAsia="en-US"/>
        </w:rPr>
        <w:t xml:space="preserve"> [online], 8 mar. 2022. Disponível em: https://revistamenu.com.br/2-em-cada-3-brasileiras-ja-foram-assediadas-em-bares-e-restaurantes/. Acesso em: 26 jul. 2022.</w:t>
      </w:r>
    </w:p>
    <w:p w14:paraId="45B21352" w14:textId="77777777" w:rsidR="00371734" w:rsidRDefault="00371734" w:rsidP="001024E7">
      <w:pPr>
        <w:ind w:firstLine="1418"/>
        <w:jc w:val="both"/>
      </w:pPr>
    </w:p>
    <w:p w14:paraId="3CBCC492" w14:textId="77777777" w:rsidR="00E03F2D" w:rsidRDefault="00E03F2D">
      <w:pPr>
        <w:ind w:firstLine="1418"/>
        <w:jc w:val="center"/>
        <w:rPr>
          <w:rFonts w:eastAsia="Calibri"/>
          <w:lang w:eastAsia="en-US"/>
        </w:rPr>
      </w:pPr>
    </w:p>
    <w:p w14:paraId="370D12DE" w14:textId="77777777" w:rsidR="007D57F7" w:rsidRDefault="007D57F7">
      <w:pPr>
        <w:ind w:firstLine="1418"/>
        <w:jc w:val="center"/>
        <w:rPr>
          <w:rFonts w:eastAsia="Calibri"/>
          <w:lang w:eastAsia="en-US"/>
        </w:rPr>
      </w:pPr>
    </w:p>
    <w:p w14:paraId="7B92A95B" w14:textId="5F05CF64" w:rsidR="007144C2" w:rsidRDefault="00F050F0" w:rsidP="007144C2">
      <w:pPr>
        <w:jc w:val="center"/>
      </w:pPr>
      <w:r>
        <w:rPr>
          <w:rFonts w:eastAsia="Calibri"/>
          <w:lang w:eastAsia="en-US"/>
        </w:rPr>
        <w:t>VEREADOR</w:t>
      </w:r>
      <w:r w:rsidR="001E3AB5">
        <w:rPr>
          <w:rFonts w:eastAsia="Calibri"/>
          <w:lang w:eastAsia="en-US"/>
        </w:rPr>
        <w:t>A</w:t>
      </w:r>
      <w:r w:rsidR="007144C2">
        <w:rPr>
          <w:rFonts w:eastAsia="Calibri"/>
          <w:lang w:eastAsia="en-US"/>
        </w:rPr>
        <w:t xml:space="preserve"> </w:t>
      </w:r>
      <w:r w:rsidR="001E3AB5">
        <w:rPr>
          <w:rFonts w:eastAsia="Calibri"/>
          <w:lang w:eastAsia="en-US"/>
        </w:rPr>
        <w:t>CINTIA ROCKENBACH</w:t>
      </w:r>
    </w:p>
    <w:p w14:paraId="77EB28A3" w14:textId="5893D423" w:rsidR="007D57F7" w:rsidRDefault="00F050F0" w:rsidP="009B30E6">
      <w:r>
        <w:br w:type="page"/>
      </w:r>
    </w:p>
    <w:p w14:paraId="1382E383" w14:textId="75927FC8" w:rsidR="007D57F7" w:rsidRPr="00974188" w:rsidRDefault="00FB5613">
      <w:pPr>
        <w:jc w:val="center"/>
      </w:pPr>
      <w:r w:rsidRPr="00974188">
        <w:rPr>
          <w:b/>
          <w:bCs/>
        </w:rPr>
        <w:lastRenderedPageBreak/>
        <w:t>PROJETO DE LEI</w:t>
      </w:r>
    </w:p>
    <w:p w14:paraId="1F5EDA74" w14:textId="77777777" w:rsidR="007D57F7" w:rsidRPr="00974188" w:rsidRDefault="007D57F7">
      <w:pPr>
        <w:pStyle w:val="Default"/>
        <w:jc w:val="center"/>
        <w:rPr>
          <w:bCs/>
        </w:rPr>
      </w:pPr>
    </w:p>
    <w:p w14:paraId="14EF6105" w14:textId="1ABAA768" w:rsidR="007D57F7" w:rsidRDefault="007D57F7">
      <w:pPr>
        <w:pStyle w:val="Default"/>
        <w:jc w:val="center"/>
        <w:rPr>
          <w:bCs/>
        </w:rPr>
      </w:pPr>
    </w:p>
    <w:p w14:paraId="05B50C17" w14:textId="77777777" w:rsidR="00DD7018" w:rsidRPr="00974188" w:rsidRDefault="00DD7018">
      <w:pPr>
        <w:pStyle w:val="Default"/>
        <w:jc w:val="center"/>
        <w:rPr>
          <w:bCs/>
        </w:rPr>
      </w:pPr>
    </w:p>
    <w:p w14:paraId="6E5A147E" w14:textId="74170D1B" w:rsidR="001024E7" w:rsidRPr="00F57F30" w:rsidRDefault="00DD618C" w:rsidP="001024E7">
      <w:pPr>
        <w:ind w:left="4253"/>
        <w:jc w:val="both"/>
        <w:rPr>
          <w:b/>
          <w:spacing w:val="-2"/>
        </w:rPr>
      </w:pPr>
      <w:r>
        <w:rPr>
          <w:b/>
          <w:spacing w:val="-2"/>
        </w:rPr>
        <w:t>Estabelece</w:t>
      </w:r>
      <w:r w:rsidR="001E3AB5" w:rsidRPr="001E3AB5">
        <w:rPr>
          <w:b/>
          <w:spacing w:val="-2"/>
        </w:rPr>
        <w:t xml:space="preserve"> a obrigatoriedade de bares, cafés, quiosques, complexos e centros gastronômicos, restaurantes, casas noturnas, espaços de eventos</w:t>
      </w:r>
      <w:r w:rsidR="000B3B08">
        <w:rPr>
          <w:b/>
          <w:spacing w:val="-2"/>
        </w:rPr>
        <w:t xml:space="preserve"> e</w:t>
      </w:r>
      <w:r w:rsidR="001E3AB5" w:rsidRPr="001E3AB5">
        <w:rPr>
          <w:b/>
          <w:spacing w:val="-2"/>
        </w:rPr>
        <w:t xml:space="preserve"> de </w:t>
      </w:r>
      <w:r w:rsidR="001E3AB5" w:rsidRPr="002641E3">
        <w:rPr>
          <w:b/>
          <w:i/>
          <w:iCs/>
          <w:spacing w:val="-2"/>
        </w:rPr>
        <w:t>shows</w:t>
      </w:r>
      <w:r w:rsidR="001E3AB5" w:rsidRPr="001E3AB5">
        <w:rPr>
          <w:b/>
          <w:spacing w:val="-2"/>
        </w:rPr>
        <w:t xml:space="preserve"> e de ambientes assemelhados, bem como do setor de hospitalidade, a adotar medidas de auxílio e proteção à mulher em situação de risco de assédio.</w:t>
      </w:r>
    </w:p>
    <w:p w14:paraId="10D1138C" w14:textId="77777777" w:rsidR="001024E7" w:rsidRPr="00B22652" w:rsidRDefault="001024E7" w:rsidP="001024E7">
      <w:pPr>
        <w:ind w:left="4253"/>
        <w:jc w:val="both"/>
        <w:rPr>
          <w:b/>
          <w:spacing w:val="-2"/>
        </w:rPr>
      </w:pPr>
    </w:p>
    <w:p w14:paraId="19C4B9F4" w14:textId="2B262A48" w:rsidR="007144C2" w:rsidRPr="00347538" w:rsidRDefault="007144C2" w:rsidP="007144C2">
      <w:pPr>
        <w:ind w:left="4253"/>
        <w:jc w:val="both"/>
      </w:pPr>
    </w:p>
    <w:p w14:paraId="1132EFF0" w14:textId="52D80418" w:rsidR="001E3AB5" w:rsidRDefault="006C462A" w:rsidP="001E3AB5">
      <w:pPr>
        <w:ind w:firstLine="1418"/>
        <w:jc w:val="both"/>
      </w:pPr>
      <w:r w:rsidRPr="00347538">
        <w:rPr>
          <w:b/>
        </w:rPr>
        <w:t xml:space="preserve">Art. </w:t>
      </w:r>
      <w:r w:rsidR="008B515A">
        <w:rPr>
          <w:b/>
        </w:rPr>
        <w:t>1</w:t>
      </w:r>
      <w:proofErr w:type="gramStart"/>
      <w:r w:rsidRPr="00347538">
        <w:rPr>
          <w:b/>
        </w:rPr>
        <w:t xml:space="preserve">º  </w:t>
      </w:r>
      <w:r w:rsidR="001E3AB5">
        <w:t>Ficam</w:t>
      </w:r>
      <w:proofErr w:type="gramEnd"/>
      <w:r w:rsidR="001E3AB5">
        <w:t xml:space="preserve"> os bares, cafés, quiosques, complexos e centros gastronômicos, restaurantes, casas noturnas, espaços de eventos e de </w:t>
      </w:r>
      <w:r w:rsidR="001E3AB5" w:rsidRPr="002641E3">
        <w:rPr>
          <w:i/>
          <w:iCs/>
        </w:rPr>
        <w:t>shows</w:t>
      </w:r>
      <w:r w:rsidR="001E3AB5">
        <w:t xml:space="preserve">, ambientes assemelhados e do setor de hospitalidade </w:t>
      </w:r>
      <w:r w:rsidR="00DD618C">
        <w:t xml:space="preserve">no Município de Porto Alegre </w:t>
      </w:r>
      <w:r w:rsidR="001E3AB5">
        <w:t>obrigados a adotar</w:t>
      </w:r>
      <w:r w:rsidR="00DD618C">
        <w:t>em</w:t>
      </w:r>
      <w:r w:rsidR="001E3AB5">
        <w:t xml:space="preserve"> medidas de auxílio e proteção à mulher em situação de risco de assédio </w:t>
      </w:r>
      <w:r w:rsidR="003156EF">
        <w:t xml:space="preserve">em suas </w:t>
      </w:r>
      <w:r w:rsidR="001E3AB5">
        <w:t>dependências</w:t>
      </w:r>
      <w:r w:rsidR="00DD618C">
        <w:t>.</w:t>
      </w:r>
    </w:p>
    <w:p w14:paraId="6A2B8E4C" w14:textId="77777777" w:rsidR="001E3AB5" w:rsidRDefault="001E3AB5" w:rsidP="001E3AB5">
      <w:pPr>
        <w:ind w:firstLine="1418"/>
        <w:jc w:val="both"/>
      </w:pPr>
    </w:p>
    <w:p w14:paraId="23FED7B9" w14:textId="442201AF" w:rsidR="001E3AB5" w:rsidRDefault="001E3AB5" w:rsidP="001E3AB5">
      <w:pPr>
        <w:ind w:firstLine="1418"/>
        <w:jc w:val="both"/>
      </w:pPr>
      <w:r w:rsidRPr="001E3AB5">
        <w:rPr>
          <w:b/>
          <w:bCs/>
        </w:rPr>
        <w:t>Parágrafo único.</w:t>
      </w:r>
      <w:r>
        <w:t xml:space="preserve">  As medidas previstas nesta Lei se estendem às profissionais e prestadoras de serviços dos estabelecimentos especificados no </w:t>
      </w:r>
      <w:r w:rsidRPr="002641E3">
        <w:rPr>
          <w:i/>
          <w:iCs/>
        </w:rPr>
        <w:t>caput</w:t>
      </w:r>
      <w:r>
        <w:t xml:space="preserve"> deste artigo no exercício de suas atividades laborais, quando submetidas a situações de assédio ou outras formas de violência cometidas por clientes, prestadores de serviços, fornecedores e prepostos daqueles </w:t>
      </w:r>
      <w:proofErr w:type="spellStart"/>
      <w:r>
        <w:t>empreendimentos</w:t>
      </w:r>
      <w:proofErr w:type="spellEnd"/>
      <w:r>
        <w:t>.</w:t>
      </w:r>
    </w:p>
    <w:p w14:paraId="02A68D15" w14:textId="77777777" w:rsidR="001E3AB5" w:rsidRDefault="001E3AB5" w:rsidP="001E3AB5">
      <w:pPr>
        <w:ind w:firstLine="1418"/>
        <w:jc w:val="both"/>
      </w:pPr>
    </w:p>
    <w:p w14:paraId="74223F9E" w14:textId="67A75ECE" w:rsidR="001E3AB5" w:rsidRDefault="001E3AB5" w:rsidP="001E3AB5">
      <w:pPr>
        <w:ind w:firstLine="1418"/>
        <w:jc w:val="both"/>
      </w:pPr>
      <w:r w:rsidRPr="001E3AB5">
        <w:rPr>
          <w:b/>
          <w:bCs/>
        </w:rPr>
        <w:t>Art. 2</w:t>
      </w:r>
      <w:proofErr w:type="gramStart"/>
      <w:r w:rsidRPr="001E3AB5">
        <w:rPr>
          <w:b/>
          <w:bCs/>
        </w:rPr>
        <w:t>º</w:t>
      </w:r>
      <w:r>
        <w:t xml:space="preserve">  </w:t>
      </w:r>
      <w:r w:rsidR="00DD618C">
        <w:t>Para</w:t>
      </w:r>
      <w:proofErr w:type="gramEnd"/>
      <w:r w:rsidR="00DD618C">
        <w:t xml:space="preserve"> os efeitos desta Lei, e</w:t>
      </w:r>
      <w:r>
        <w:t>ntende</w:t>
      </w:r>
      <w:r w:rsidR="00DD618C">
        <w:t>m</w:t>
      </w:r>
      <w:r>
        <w:t>-se por medidas de auxílio ou proteção às mulheres em situação de assédio ou violência:</w:t>
      </w:r>
    </w:p>
    <w:p w14:paraId="60EF886F" w14:textId="77777777" w:rsidR="001E3AB5" w:rsidRDefault="001E3AB5" w:rsidP="001E3AB5">
      <w:pPr>
        <w:ind w:firstLine="1418"/>
        <w:jc w:val="both"/>
      </w:pPr>
    </w:p>
    <w:p w14:paraId="6051E3DD" w14:textId="0CBCDDCC" w:rsidR="001E3AB5" w:rsidRDefault="001E3AB5" w:rsidP="001E3AB5">
      <w:pPr>
        <w:ind w:firstLine="1418"/>
        <w:jc w:val="both"/>
      </w:pPr>
      <w:r>
        <w:t xml:space="preserve">I – </w:t>
      </w:r>
      <w:proofErr w:type="gramStart"/>
      <w:r w:rsidR="006124D1">
        <w:t>o</w:t>
      </w:r>
      <w:proofErr w:type="gramEnd"/>
      <w:r w:rsidR="006124D1">
        <w:t xml:space="preserve"> </w:t>
      </w:r>
      <w:r>
        <w:t xml:space="preserve">treinamento dos funcionários para identificação de situações de assédio </w:t>
      </w:r>
      <w:r w:rsidR="00D72EDA">
        <w:t>ou</w:t>
      </w:r>
      <w:r>
        <w:t xml:space="preserve"> violência contra a mulher;</w:t>
      </w:r>
    </w:p>
    <w:p w14:paraId="409F7172" w14:textId="77777777" w:rsidR="001E3AB5" w:rsidRDefault="001E3AB5" w:rsidP="001E3AB5">
      <w:pPr>
        <w:ind w:firstLine="1418"/>
        <w:jc w:val="both"/>
      </w:pPr>
    </w:p>
    <w:p w14:paraId="3FD00C4A" w14:textId="359C449F" w:rsidR="001E3AB5" w:rsidRDefault="001E3AB5" w:rsidP="001E3AB5">
      <w:pPr>
        <w:ind w:firstLine="1418"/>
        <w:jc w:val="both"/>
      </w:pPr>
      <w:r>
        <w:t xml:space="preserve">II – </w:t>
      </w:r>
      <w:r w:rsidR="006124D1">
        <w:t xml:space="preserve">a </w:t>
      </w:r>
      <w:r>
        <w:t xml:space="preserve">comunicação e </w:t>
      </w:r>
      <w:r w:rsidR="006124D1">
        <w:t xml:space="preserve">o </w:t>
      </w:r>
      <w:r>
        <w:t>oferecimento de espaço reservado para que a mulher esteja em local seguro até a chegada de autoridades competentes;</w:t>
      </w:r>
    </w:p>
    <w:p w14:paraId="2B743F9C" w14:textId="77777777" w:rsidR="001E3AB5" w:rsidRDefault="001E3AB5" w:rsidP="001E3AB5">
      <w:pPr>
        <w:ind w:firstLine="1418"/>
        <w:jc w:val="both"/>
      </w:pPr>
    </w:p>
    <w:p w14:paraId="25B91D83" w14:textId="44959E05" w:rsidR="001E3AB5" w:rsidRDefault="001E3AB5" w:rsidP="001E3AB5">
      <w:pPr>
        <w:ind w:firstLine="1418"/>
        <w:jc w:val="both"/>
      </w:pPr>
      <w:r>
        <w:t xml:space="preserve">III – </w:t>
      </w:r>
      <w:r w:rsidR="006124D1">
        <w:t xml:space="preserve">a </w:t>
      </w:r>
      <w:r>
        <w:t xml:space="preserve">comunicação imediata </w:t>
      </w:r>
      <w:r w:rsidR="00DD618C">
        <w:t>a</w:t>
      </w:r>
      <w:r>
        <w:t xml:space="preserve"> autoridades competentes;</w:t>
      </w:r>
      <w:r w:rsidR="00BE795A">
        <w:t xml:space="preserve"> e</w:t>
      </w:r>
    </w:p>
    <w:p w14:paraId="49ADFC43" w14:textId="77777777" w:rsidR="001E3AB5" w:rsidRDefault="001E3AB5" w:rsidP="001E3AB5">
      <w:pPr>
        <w:ind w:firstLine="1418"/>
        <w:jc w:val="both"/>
      </w:pPr>
    </w:p>
    <w:p w14:paraId="32B36FBB" w14:textId="5E589A75" w:rsidR="001E3AB5" w:rsidRDefault="001E3AB5" w:rsidP="001E3AB5">
      <w:pPr>
        <w:ind w:firstLine="1418"/>
        <w:jc w:val="both"/>
      </w:pPr>
      <w:r>
        <w:t xml:space="preserve">IV – </w:t>
      </w:r>
      <w:proofErr w:type="gramStart"/>
      <w:r w:rsidR="006124D1">
        <w:t>o</w:t>
      </w:r>
      <w:proofErr w:type="gramEnd"/>
      <w:r w:rsidR="006124D1">
        <w:t xml:space="preserve"> </w:t>
      </w:r>
      <w:r>
        <w:t>acompanhamento da mulher até seu meio de transporte</w:t>
      </w:r>
      <w:r w:rsidR="00DD618C">
        <w:t>,</w:t>
      </w:r>
      <w:r>
        <w:t xml:space="preserve"> quando solicitado ou necessário.</w:t>
      </w:r>
    </w:p>
    <w:p w14:paraId="28D22729" w14:textId="77777777" w:rsidR="001E3AB5" w:rsidRDefault="001E3AB5" w:rsidP="001E3AB5">
      <w:pPr>
        <w:ind w:firstLine="1418"/>
        <w:jc w:val="both"/>
      </w:pPr>
    </w:p>
    <w:p w14:paraId="7BF05A09" w14:textId="58D24FF2" w:rsidR="001E3AB5" w:rsidRDefault="001E3AB5" w:rsidP="001E3AB5">
      <w:pPr>
        <w:ind w:firstLine="1418"/>
        <w:jc w:val="both"/>
      </w:pPr>
      <w:r w:rsidRPr="001E3AB5">
        <w:rPr>
          <w:b/>
          <w:bCs/>
        </w:rPr>
        <w:t>Art. 3</w:t>
      </w:r>
      <w:proofErr w:type="gramStart"/>
      <w:r w:rsidRPr="001E3AB5">
        <w:rPr>
          <w:b/>
          <w:bCs/>
        </w:rPr>
        <w:t>º</w:t>
      </w:r>
      <w:r>
        <w:t xml:space="preserve">  Os</w:t>
      </w:r>
      <w:proofErr w:type="gramEnd"/>
      <w:r>
        <w:t xml:space="preserve"> estabelecimentos </w:t>
      </w:r>
      <w:r w:rsidR="00DD618C">
        <w:t xml:space="preserve">de que trata o art. 1º desta Lei </w:t>
      </w:r>
      <w:r>
        <w:t xml:space="preserve">deverão instruir seus funcionários e equipe de segurança </w:t>
      </w:r>
      <w:r w:rsidR="00DD618C">
        <w:t xml:space="preserve">em relação às </w:t>
      </w:r>
      <w:r>
        <w:t xml:space="preserve">medidas mencionadas </w:t>
      </w:r>
      <w:r w:rsidR="00ED1A56">
        <w:t xml:space="preserve">em seu </w:t>
      </w:r>
      <w:r>
        <w:t>art</w:t>
      </w:r>
      <w:r w:rsidR="004E537F">
        <w:t>. 2º</w:t>
      </w:r>
      <w:r>
        <w:t>, visando a atender adequadamente a mulher em situação de risco, vulnerabilidade ou violência, garantindo eficaz acolhida, auxílio e proteção.</w:t>
      </w:r>
    </w:p>
    <w:p w14:paraId="4EBB0627" w14:textId="77777777" w:rsidR="001E3AB5" w:rsidRDefault="001E3AB5" w:rsidP="001E3AB5">
      <w:pPr>
        <w:ind w:firstLine="1418"/>
        <w:jc w:val="both"/>
      </w:pPr>
    </w:p>
    <w:p w14:paraId="77E7DBCF" w14:textId="660117D3" w:rsidR="001E3AB5" w:rsidRDefault="001E3AB5" w:rsidP="001E3AB5">
      <w:pPr>
        <w:ind w:firstLine="1418"/>
        <w:jc w:val="both"/>
      </w:pPr>
      <w:r w:rsidRPr="001E3AB5">
        <w:rPr>
          <w:b/>
          <w:bCs/>
        </w:rPr>
        <w:t>§ 1</w:t>
      </w:r>
      <w:proofErr w:type="gramStart"/>
      <w:r w:rsidRPr="001E3AB5">
        <w:rPr>
          <w:b/>
          <w:bCs/>
        </w:rPr>
        <w:t>º</w:t>
      </w:r>
      <w:r>
        <w:t xml:space="preserve">  A</w:t>
      </w:r>
      <w:proofErr w:type="gramEnd"/>
      <w:r>
        <w:t xml:space="preserve"> instrução mencionada no </w:t>
      </w:r>
      <w:r w:rsidRPr="002641E3">
        <w:rPr>
          <w:i/>
          <w:iCs/>
        </w:rPr>
        <w:t>caput</w:t>
      </w:r>
      <w:r>
        <w:t xml:space="preserve"> </w:t>
      </w:r>
      <w:r w:rsidR="00DD618C">
        <w:t xml:space="preserve">deste artigo </w:t>
      </w:r>
      <w:r>
        <w:t>compreende a informação a funcionários e equipe de segurança sobre técnicas civilizadas de abordagem ao agressor</w:t>
      </w:r>
      <w:r w:rsidR="00DD618C">
        <w:t xml:space="preserve"> ou </w:t>
      </w:r>
      <w:r>
        <w:t>assediador, bem como sobre a conduta adequada a ser adotada no sentido de acolher, auxiliar e proteger a mulher enquadrada nas hipóteses desta Lei.</w:t>
      </w:r>
    </w:p>
    <w:p w14:paraId="14E885A5" w14:textId="77777777" w:rsidR="001E3AB5" w:rsidRDefault="001E3AB5" w:rsidP="001E3AB5">
      <w:pPr>
        <w:ind w:firstLine="1418"/>
        <w:jc w:val="both"/>
      </w:pPr>
    </w:p>
    <w:p w14:paraId="375BBEB8" w14:textId="52FBF7C1" w:rsidR="001E3AB5" w:rsidRDefault="001E3AB5" w:rsidP="001E3AB5">
      <w:pPr>
        <w:ind w:firstLine="1418"/>
        <w:jc w:val="both"/>
      </w:pPr>
      <w:r w:rsidRPr="001E3AB5">
        <w:rPr>
          <w:b/>
          <w:bCs/>
        </w:rPr>
        <w:lastRenderedPageBreak/>
        <w:t>§ 2</w:t>
      </w:r>
      <w:proofErr w:type="gramStart"/>
      <w:r w:rsidRPr="001E3AB5">
        <w:rPr>
          <w:b/>
          <w:bCs/>
        </w:rPr>
        <w:t>º</w:t>
      </w:r>
      <w:r>
        <w:t xml:space="preserve">  Os</w:t>
      </w:r>
      <w:proofErr w:type="gramEnd"/>
      <w:r>
        <w:t xml:space="preserve"> prepostos do estabelecimento deverão atuar com discrição, registrando as circunstâncias fáticas e possibilitando a identificação do agressor a fim de facilitar eventual investigação por autoridades competentes</w:t>
      </w:r>
      <w:r w:rsidR="00DD618C">
        <w:t>,</w:t>
      </w:r>
      <w:r>
        <w:t xml:space="preserve"> disponibilizando à mulher ou às referidas autoridades todos os canais de comunicação para a efetiva promoção da defesa de seus direitos.</w:t>
      </w:r>
    </w:p>
    <w:p w14:paraId="55B06006" w14:textId="77777777" w:rsidR="001E3AB5" w:rsidRDefault="001E3AB5" w:rsidP="001E3AB5">
      <w:pPr>
        <w:ind w:firstLine="1418"/>
        <w:jc w:val="both"/>
      </w:pPr>
    </w:p>
    <w:p w14:paraId="6A60B572" w14:textId="3EC9C75F" w:rsidR="001E3AB5" w:rsidRDefault="001E3AB5" w:rsidP="001E3AB5">
      <w:pPr>
        <w:ind w:firstLine="1418"/>
        <w:jc w:val="both"/>
      </w:pPr>
      <w:r w:rsidRPr="001E3AB5">
        <w:rPr>
          <w:b/>
          <w:bCs/>
        </w:rPr>
        <w:t>§ 3</w:t>
      </w:r>
      <w:proofErr w:type="gramStart"/>
      <w:r w:rsidRPr="001E3AB5">
        <w:rPr>
          <w:b/>
          <w:bCs/>
        </w:rPr>
        <w:t>º</w:t>
      </w:r>
      <w:r>
        <w:t xml:space="preserve">  Os</w:t>
      </w:r>
      <w:proofErr w:type="gramEnd"/>
      <w:r>
        <w:t xml:space="preserve"> estabelecimentos deverão afixar em locais internos de ampla visibilidade aos clientes e frequentadores cartaz </w:t>
      </w:r>
      <w:r w:rsidR="00B26C06">
        <w:t xml:space="preserve">indicando o número desta Lei </w:t>
      </w:r>
      <w:r w:rsidR="006474BB">
        <w:t xml:space="preserve">e </w:t>
      </w:r>
      <w:r>
        <w:t>com os seguintes dizeres: Este estabelecimento adota medidas de auxílio e proteção à mulher em situação de risco de assédio</w:t>
      </w:r>
      <w:r w:rsidR="00B26C06">
        <w:t>.</w:t>
      </w:r>
    </w:p>
    <w:p w14:paraId="1B1DCC81" w14:textId="77777777" w:rsidR="001E3AB5" w:rsidRDefault="001E3AB5" w:rsidP="001E3AB5">
      <w:pPr>
        <w:ind w:firstLine="1418"/>
        <w:jc w:val="both"/>
      </w:pPr>
    </w:p>
    <w:p w14:paraId="3C699150" w14:textId="714D8CD0" w:rsidR="001E3AB5" w:rsidRDefault="001E3AB5" w:rsidP="001E3AB5">
      <w:pPr>
        <w:ind w:firstLine="1418"/>
        <w:jc w:val="both"/>
      </w:pPr>
      <w:r w:rsidRPr="001E3AB5">
        <w:rPr>
          <w:b/>
          <w:bCs/>
        </w:rPr>
        <w:t>Art. 4</w:t>
      </w:r>
      <w:proofErr w:type="gramStart"/>
      <w:r w:rsidRPr="001E3AB5">
        <w:rPr>
          <w:b/>
          <w:bCs/>
        </w:rPr>
        <w:t>º</w:t>
      </w:r>
      <w:r>
        <w:t xml:space="preserve">  O</w:t>
      </w:r>
      <w:proofErr w:type="gramEnd"/>
      <w:r>
        <w:t xml:space="preserve"> descumprimento </w:t>
      </w:r>
      <w:r w:rsidR="0022686C">
        <w:t>do disposto n</w:t>
      </w:r>
      <w:r>
        <w:t xml:space="preserve">esta Lei </w:t>
      </w:r>
      <w:r w:rsidR="00DD618C">
        <w:t xml:space="preserve">acarretará </w:t>
      </w:r>
      <w:r>
        <w:t>advertência ao estabelecimento por parte da autoridade fiscalizadora.</w:t>
      </w:r>
    </w:p>
    <w:p w14:paraId="38F884E0" w14:textId="77777777" w:rsidR="001E3AB5" w:rsidRDefault="001E3AB5" w:rsidP="001E3AB5">
      <w:pPr>
        <w:ind w:firstLine="1418"/>
        <w:jc w:val="both"/>
      </w:pPr>
    </w:p>
    <w:p w14:paraId="310E64E9" w14:textId="68B4116C" w:rsidR="001E3AB5" w:rsidRDefault="001E3AB5" w:rsidP="001E3AB5">
      <w:pPr>
        <w:ind w:firstLine="1418"/>
        <w:jc w:val="both"/>
      </w:pPr>
      <w:r w:rsidRPr="001E3AB5">
        <w:rPr>
          <w:b/>
          <w:bCs/>
        </w:rPr>
        <w:t>§ 1</w:t>
      </w:r>
      <w:proofErr w:type="gramStart"/>
      <w:r w:rsidRPr="001E3AB5">
        <w:rPr>
          <w:b/>
          <w:bCs/>
        </w:rPr>
        <w:t>º</w:t>
      </w:r>
      <w:r>
        <w:t xml:space="preserve">  Em</w:t>
      </w:r>
      <w:proofErr w:type="gramEnd"/>
      <w:r>
        <w:t xml:space="preserve"> caso de reincidência, o estabelecimento </w:t>
      </w:r>
      <w:r w:rsidR="00926805">
        <w:t>infrator estará sujeito a multa</w:t>
      </w:r>
      <w:r>
        <w:t xml:space="preserve"> no valor de 500 (quinhentas) Unidades Financeiras Municipais (</w:t>
      </w:r>
      <w:proofErr w:type="spellStart"/>
      <w:r>
        <w:t>UFMs</w:t>
      </w:r>
      <w:proofErr w:type="spellEnd"/>
      <w:r w:rsidR="003156EF">
        <w:t>)</w:t>
      </w:r>
      <w:r>
        <w:t>.</w:t>
      </w:r>
    </w:p>
    <w:p w14:paraId="104208D4" w14:textId="77777777" w:rsidR="001E3AB5" w:rsidRDefault="001E3AB5" w:rsidP="001E3AB5">
      <w:pPr>
        <w:ind w:firstLine="1418"/>
        <w:jc w:val="both"/>
      </w:pPr>
    </w:p>
    <w:p w14:paraId="505959BF" w14:textId="167F0942" w:rsidR="001E3AB5" w:rsidRDefault="001E3AB5" w:rsidP="001E3AB5">
      <w:pPr>
        <w:ind w:firstLine="1418"/>
        <w:jc w:val="both"/>
      </w:pPr>
      <w:r w:rsidRPr="001E3AB5">
        <w:rPr>
          <w:b/>
          <w:bCs/>
        </w:rPr>
        <w:t>§ 2</w:t>
      </w:r>
      <w:proofErr w:type="gramStart"/>
      <w:r w:rsidRPr="001E3AB5">
        <w:rPr>
          <w:b/>
          <w:bCs/>
        </w:rPr>
        <w:t>º</w:t>
      </w:r>
      <w:r>
        <w:t xml:space="preserve">  O</w:t>
      </w:r>
      <w:proofErr w:type="gramEnd"/>
      <w:r>
        <w:t xml:space="preserve"> descumprimento desta Lei deve ser denunciado </w:t>
      </w:r>
      <w:r w:rsidR="00DD618C">
        <w:t xml:space="preserve">por meio </w:t>
      </w:r>
      <w:r w:rsidR="00926805">
        <w:t>da Central de Atendimento ao Cidadão 156</w:t>
      </w:r>
      <w:r>
        <w:t>.</w:t>
      </w:r>
    </w:p>
    <w:p w14:paraId="0ED4DF17" w14:textId="77777777" w:rsidR="001E3AB5" w:rsidRDefault="001E3AB5" w:rsidP="001E3AB5">
      <w:pPr>
        <w:ind w:firstLine="1418"/>
        <w:jc w:val="both"/>
      </w:pPr>
    </w:p>
    <w:p w14:paraId="7953105A" w14:textId="1F641192" w:rsidR="001E3AB5" w:rsidRDefault="001E3AB5" w:rsidP="001E3AB5">
      <w:pPr>
        <w:ind w:firstLine="1418"/>
        <w:jc w:val="both"/>
      </w:pPr>
      <w:r w:rsidRPr="001E3AB5">
        <w:rPr>
          <w:b/>
          <w:bCs/>
        </w:rPr>
        <w:t>Art. 5</w:t>
      </w:r>
      <w:proofErr w:type="gramStart"/>
      <w:r w:rsidRPr="001E3AB5">
        <w:rPr>
          <w:b/>
          <w:bCs/>
        </w:rPr>
        <w:t>º</w:t>
      </w:r>
      <w:r>
        <w:t xml:space="preserve">  As</w:t>
      </w:r>
      <w:proofErr w:type="gramEnd"/>
      <w:r>
        <w:t xml:space="preserve"> </w:t>
      </w:r>
      <w:r w:rsidR="00D72EDA" w:rsidRPr="00D72EDA">
        <w:t xml:space="preserve">medidas de auxílio e proteção </w:t>
      </w:r>
      <w:r w:rsidR="00D72EDA">
        <w:t xml:space="preserve">previstas </w:t>
      </w:r>
      <w:r>
        <w:t xml:space="preserve">nesta Lei </w:t>
      </w:r>
      <w:r w:rsidR="00D72EDA">
        <w:t xml:space="preserve">destinam-se </w:t>
      </w:r>
      <w:r>
        <w:t>a todas as pessoas que se identificam como mulher.</w:t>
      </w:r>
    </w:p>
    <w:p w14:paraId="02A74C14" w14:textId="77777777" w:rsidR="001E3AB5" w:rsidRDefault="001E3AB5" w:rsidP="001E3AB5">
      <w:pPr>
        <w:ind w:firstLine="1418"/>
        <w:jc w:val="both"/>
      </w:pPr>
    </w:p>
    <w:p w14:paraId="2794CBBB" w14:textId="5D02C183" w:rsidR="00381148" w:rsidRPr="00974188" w:rsidRDefault="00381148" w:rsidP="001E3AB5">
      <w:pPr>
        <w:ind w:firstLine="1418"/>
        <w:jc w:val="both"/>
      </w:pPr>
      <w:r w:rsidRPr="00974188">
        <w:rPr>
          <w:b/>
        </w:rPr>
        <w:t xml:space="preserve">Art. </w:t>
      </w:r>
      <w:r w:rsidR="001E3AB5">
        <w:rPr>
          <w:b/>
        </w:rPr>
        <w:t>6</w:t>
      </w:r>
      <w:proofErr w:type="gramStart"/>
      <w:r w:rsidRPr="00974188">
        <w:rPr>
          <w:b/>
        </w:rPr>
        <w:t xml:space="preserve">º  </w:t>
      </w:r>
      <w:r w:rsidRPr="00974188">
        <w:t>Esta</w:t>
      </w:r>
      <w:proofErr w:type="gramEnd"/>
      <w:r w:rsidRPr="00974188">
        <w:t xml:space="preserve"> Lei entra em vigor </w:t>
      </w:r>
      <w:r w:rsidR="00BE795A">
        <w:t xml:space="preserve">em </w:t>
      </w:r>
      <w:r w:rsidR="001E3AB5">
        <w:t>90 (noventa) dias</w:t>
      </w:r>
      <w:r w:rsidR="00BE795A">
        <w:t xml:space="preserve">, contados da data de </w:t>
      </w:r>
      <w:r w:rsidRPr="00974188">
        <w:t>sua publicação.</w:t>
      </w:r>
    </w:p>
    <w:p w14:paraId="4F62BDAB" w14:textId="1A13182C" w:rsidR="00AC14D3" w:rsidRDefault="00AC14D3">
      <w:pPr>
        <w:ind w:firstLine="1418"/>
        <w:jc w:val="both"/>
      </w:pPr>
    </w:p>
    <w:p w14:paraId="69931BA9" w14:textId="43016FA7" w:rsidR="00AC14D3" w:rsidRDefault="00AC14D3">
      <w:pPr>
        <w:ind w:firstLine="1418"/>
        <w:jc w:val="both"/>
      </w:pPr>
    </w:p>
    <w:p w14:paraId="292535C2" w14:textId="138C1006" w:rsidR="001024E7" w:rsidRDefault="001024E7">
      <w:pPr>
        <w:ind w:firstLine="1418"/>
        <w:jc w:val="both"/>
      </w:pPr>
    </w:p>
    <w:p w14:paraId="02030A04" w14:textId="77777777" w:rsidR="007D57F7" w:rsidRDefault="007D57F7">
      <w:pPr>
        <w:ind w:firstLine="1418"/>
        <w:jc w:val="both"/>
      </w:pPr>
    </w:p>
    <w:p w14:paraId="49A3E33D" w14:textId="36FB6889" w:rsidR="007D57F7" w:rsidRDefault="0093380C">
      <w:pPr>
        <w:pStyle w:val="Default"/>
        <w:jc w:val="both"/>
      </w:pPr>
      <w:r>
        <w:rPr>
          <w:bCs/>
          <w:sz w:val="20"/>
          <w:szCs w:val="20"/>
        </w:rPr>
        <w:t>/</w:t>
      </w:r>
      <w:r w:rsidR="006C462A">
        <w:rPr>
          <w:bCs/>
          <w:sz w:val="20"/>
          <w:szCs w:val="20"/>
        </w:rPr>
        <w:t>T</w:t>
      </w:r>
      <w:r w:rsidR="001E3AB5">
        <w:rPr>
          <w:bCs/>
          <w:sz w:val="20"/>
          <w:szCs w:val="20"/>
        </w:rPr>
        <w:t>PFL</w:t>
      </w:r>
    </w:p>
    <w:sectPr w:rsidR="007D57F7" w:rsidSect="007144C2">
      <w:headerReference w:type="default" r:id="rId7"/>
      <w:pgSz w:w="11906" w:h="16838"/>
      <w:pgMar w:top="1134" w:right="849" w:bottom="1021" w:left="1701" w:header="227" w:footer="0" w:gutter="0"/>
      <w:pgNumType w:start="2"/>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7C3E3" w14:textId="77777777" w:rsidR="00AA46ED" w:rsidRDefault="00AA46ED">
      <w:r>
        <w:separator/>
      </w:r>
    </w:p>
  </w:endnote>
  <w:endnote w:type="continuationSeparator" w:id="0">
    <w:p w14:paraId="2E65EBE0" w14:textId="77777777" w:rsidR="00AA46ED" w:rsidRDefault="00AA4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A4199" w14:textId="77777777" w:rsidR="00AA46ED" w:rsidRDefault="00AA46ED">
      <w:r>
        <w:separator/>
      </w:r>
    </w:p>
  </w:footnote>
  <w:footnote w:type="continuationSeparator" w:id="0">
    <w:p w14:paraId="17A6B223" w14:textId="77777777" w:rsidR="00AA46ED" w:rsidRDefault="00AA4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F372C" w14:textId="2750578D" w:rsidR="007D57F7" w:rsidRDefault="007D57F7">
    <w:pPr>
      <w:pStyle w:val="Cabealho"/>
      <w:jc w:val="right"/>
      <w:rPr>
        <w:b/>
        <w:bCs/>
      </w:rPr>
    </w:pPr>
  </w:p>
  <w:p w14:paraId="503B8367" w14:textId="77777777" w:rsidR="004D0332" w:rsidRDefault="004D0332">
    <w:pPr>
      <w:pStyle w:val="Cabealho"/>
      <w:jc w:val="right"/>
      <w:rPr>
        <w:b/>
        <w:bCs/>
      </w:rPr>
    </w:pPr>
  </w:p>
  <w:p w14:paraId="0F3455D3" w14:textId="31A3C6FD" w:rsidR="007D57F7" w:rsidRDefault="00F050F0">
    <w:pPr>
      <w:pStyle w:val="Cabealho"/>
      <w:jc w:val="right"/>
    </w:pPr>
    <w:r>
      <w:rPr>
        <w:b/>
        <w:bCs/>
      </w:rPr>
      <w:t xml:space="preserve">PROC. Nº </w:t>
    </w:r>
    <w:r w:rsidR="0068276B">
      <w:rPr>
        <w:b/>
        <w:bCs/>
      </w:rPr>
      <w:t>061</w:t>
    </w:r>
    <w:r w:rsidR="001E3AB5">
      <w:rPr>
        <w:b/>
        <w:bCs/>
      </w:rPr>
      <w:t>4</w:t>
    </w:r>
    <w:r>
      <w:rPr>
        <w:b/>
        <w:bCs/>
      </w:rPr>
      <w:t>/2</w:t>
    </w:r>
    <w:r w:rsidR="00DC4F6C">
      <w:rPr>
        <w:b/>
        <w:bCs/>
      </w:rPr>
      <w:t>2</w:t>
    </w:r>
  </w:p>
  <w:p w14:paraId="65CD3406" w14:textId="21203222" w:rsidR="007D57F7" w:rsidRDefault="00FB5613">
    <w:pPr>
      <w:pStyle w:val="Cabealho"/>
      <w:jc w:val="right"/>
    </w:pPr>
    <w:r>
      <w:rPr>
        <w:b/>
        <w:bCs/>
      </w:rPr>
      <w:t>PL</w:t>
    </w:r>
    <w:r w:rsidR="00F050F0">
      <w:rPr>
        <w:b/>
        <w:bCs/>
      </w:rPr>
      <w:t xml:space="preserve">L </w:t>
    </w:r>
    <w:r>
      <w:rPr>
        <w:b/>
        <w:bCs/>
      </w:rPr>
      <w:t xml:space="preserve">   </w:t>
    </w:r>
    <w:r w:rsidR="00F050F0">
      <w:rPr>
        <w:b/>
        <w:bCs/>
      </w:rPr>
      <w:t xml:space="preserve"> Nº</w:t>
    </w:r>
    <w:r w:rsidR="0093380C">
      <w:rPr>
        <w:b/>
        <w:bCs/>
      </w:rPr>
      <w:t xml:space="preserve"> </w:t>
    </w:r>
    <w:r w:rsidR="00F050F0">
      <w:rPr>
        <w:b/>
        <w:bCs/>
      </w:rPr>
      <w:t xml:space="preserve">  </w:t>
    </w:r>
    <w:r w:rsidR="0068276B">
      <w:rPr>
        <w:b/>
        <w:bCs/>
      </w:rPr>
      <w:t>30</w:t>
    </w:r>
    <w:r w:rsidR="001E3AB5">
      <w:rPr>
        <w:b/>
        <w:bCs/>
      </w:rPr>
      <w:t>9</w:t>
    </w:r>
    <w:r w:rsidR="00F050F0">
      <w:rPr>
        <w:b/>
        <w:bCs/>
      </w:rPr>
      <w:t>/2</w:t>
    </w:r>
    <w:r w:rsidR="00DC4F6C">
      <w:rPr>
        <w:b/>
        <w:bCs/>
      </w:rPr>
      <w:t>2</w:t>
    </w:r>
  </w:p>
  <w:p w14:paraId="0C51C91D" w14:textId="77777777" w:rsidR="007D57F7" w:rsidRDefault="007D57F7">
    <w:pPr>
      <w:pStyle w:val="Cabealho"/>
      <w:jc w:val="right"/>
      <w:rPr>
        <w:b/>
        <w:bCs/>
      </w:rPr>
    </w:pPr>
  </w:p>
  <w:p w14:paraId="389D0579" w14:textId="77777777" w:rsidR="007D57F7" w:rsidRDefault="007D57F7">
    <w:pPr>
      <w:pStyle w:val="Cabealho"/>
      <w:jc w:val="right"/>
      <w:rPr>
        <w:b/>
        <w:bCs/>
      </w:rPr>
    </w:pPr>
  </w:p>
  <w:p w14:paraId="7AE7C5AD" w14:textId="77777777" w:rsidR="007D57F7" w:rsidRDefault="007D57F7">
    <w:pPr>
      <w:pStyle w:val="Cabealho"/>
      <w:jc w:val="right"/>
      <w:rPr>
        <w:b/>
        <w:bCs/>
      </w:rPr>
    </w:pPr>
  </w:p>
  <w:p w14:paraId="28976C12" w14:textId="77777777" w:rsidR="007D57F7" w:rsidRDefault="007D57F7">
    <w:pPr>
      <w:pStyle w:val="Cabealho"/>
      <w:jc w:val="right"/>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7F7"/>
    <w:rsid w:val="00002479"/>
    <w:rsid w:val="00005DFA"/>
    <w:rsid w:val="000138F1"/>
    <w:rsid w:val="000302CD"/>
    <w:rsid w:val="0003673E"/>
    <w:rsid w:val="000722F8"/>
    <w:rsid w:val="00083C2C"/>
    <w:rsid w:val="00090FC1"/>
    <w:rsid w:val="000A68B1"/>
    <w:rsid w:val="000B3B08"/>
    <w:rsid w:val="000E266D"/>
    <w:rsid w:val="000E4E91"/>
    <w:rsid w:val="000F1C60"/>
    <w:rsid w:val="001024E7"/>
    <w:rsid w:val="0013388D"/>
    <w:rsid w:val="001614C7"/>
    <w:rsid w:val="00177AD9"/>
    <w:rsid w:val="00191075"/>
    <w:rsid w:val="001C0F8F"/>
    <w:rsid w:val="001E228E"/>
    <w:rsid w:val="001E3AB5"/>
    <w:rsid w:val="001F2137"/>
    <w:rsid w:val="0022686C"/>
    <w:rsid w:val="00242B9F"/>
    <w:rsid w:val="002641E3"/>
    <w:rsid w:val="002A0C83"/>
    <w:rsid w:val="002A42B4"/>
    <w:rsid w:val="002D239D"/>
    <w:rsid w:val="002E348B"/>
    <w:rsid w:val="002F47E7"/>
    <w:rsid w:val="00311172"/>
    <w:rsid w:val="003156EF"/>
    <w:rsid w:val="00332B67"/>
    <w:rsid w:val="00332F75"/>
    <w:rsid w:val="003463D4"/>
    <w:rsid w:val="00347538"/>
    <w:rsid w:val="00356C2F"/>
    <w:rsid w:val="00371734"/>
    <w:rsid w:val="00371AC3"/>
    <w:rsid w:val="00381148"/>
    <w:rsid w:val="003A0D7A"/>
    <w:rsid w:val="003A4022"/>
    <w:rsid w:val="003C52EC"/>
    <w:rsid w:val="00415F70"/>
    <w:rsid w:val="00421E8E"/>
    <w:rsid w:val="00424F6F"/>
    <w:rsid w:val="0042640F"/>
    <w:rsid w:val="004A468A"/>
    <w:rsid w:val="004D0332"/>
    <w:rsid w:val="004E537F"/>
    <w:rsid w:val="004F63D4"/>
    <w:rsid w:val="00533990"/>
    <w:rsid w:val="00537E05"/>
    <w:rsid w:val="0054458C"/>
    <w:rsid w:val="005A7538"/>
    <w:rsid w:val="005C0C62"/>
    <w:rsid w:val="005D4229"/>
    <w:rsid w:val="005E7723"/>
    <w:rsid w:val="005F5DCD"/>
    <w:rsid w:val="006059B3"/>
    <w:rsid w:val="006124D1"/>
    <w:rsid w:val="006474BB"/>
    <w:rsid w:val="006615E7"/>
    <w:rsid w:val="00662343"/>
    <w:rsid w:val="006664D0"/>
    <w:rsid w:val="00670B8D"/>
    <w:rsid w:val="0068276B"/>
    <w:rsid w:val="00687DE2"/>
    <w:rsid w:val="006933BC"/>
    <w:rsid w:val="006B2A8E"/>
    <w:rsid w:val="006B7848"/>
    <w:rsid w:val="006C462A"/>
    <w:rsid w:val="007144C2"/>
    <w:rsid w:val="00737FEA"/>
    <w:rsid w:val="007C12AF"/>
    <w:rsid w:val="007C238D"/>
    <w:rsid w:val="007C367B"/>
    <w:rsid w:val="007D57F7"/>
    <w:rsid w:val="007E230A"/>
    <w:rsid w:val="00811394"/>
    <w:rsid w:val="00840AA5"/>
    <w:rsid w:val="00845B87"/>
    <w:rsid w:val="00854C69"/>
    <w:rsid w:val="00873CC3"/>
    <w:rsid w:val="0087409A"/>
    <w:rsid w:val="00896A4F"/>
    <w:rsid w:val="008B515A"/>
    <w:rsid w:val="008C4035"/>
    <w:rsid w:val="00904C82"/>
    <w:rsid w:val="00917752"/>
    <w:rsid w:val="00926805"/>
    <w:rsid w:val="0093380C"/>
    <w:rsid w:val="00933BC4"/>
    <w:rsid w:val="0094779D"/>
    <w:rsid w:val="009547D3"/>
    <w:rsid w:val="00974188"/>
    <w:rsid w:val="009A5FC7"/>
    <w:rsid w:val="009B30E6"/>
    <w:rsid w:val="009D0084"/>
    <w:rsid w:val="00A17C01"/>
    <w:rsid w:val="00A35FDA"/>
    <w:rsid w:val="00A51066"/>
    <w:rsid w:val="00A66A4A"/>
    <w:rsid w:val="00A74F62"/>
    <w:rsid w:val="00AA46ED"/>
    <w:rsid w:val="00AC14D3"/>
    <w:rsid w:val="00AE078D"/>
    <w:rsid w:val="00B22652"/>
    <w:rsid w:val="00B26C06"/>
    <w:rsid w:val="00B418ED"/>
    <w:rsid w:val="00B462CD"/>
    <w:rsid w:val="00B52A63"/>
    <w:rsid w:val="00B544F1"/>
    <w:rsid w:val="00B5469E"/>
    <w:rsid w:val="00B8494D"/>
    <w:rsid w:val="00B90157"/>
    <w:rsid w:val="00B90EE7"/>
    <w:rsid w:val="00BE016A"/>
    <w:rsid w:val="00BE795A"/>
    <w:rsid w:val="00C06F67"/>
    <w:rsid w:val="00C16872"/>
    <w:rsid w:val="00C31B82"/>
    <w:rsid w:val="00C40C74"/>
    <w:rsid w:val="00C51E50"/>
    <w:rsid w:val="00CC44E7"/>
    <w:rsid w:val="00CE20D0"/>
    <w:rsid w:val="00D11C48"/>
    <w:rsid w:val="00D21618"/>
    <w:rsid w:val="00D311CE"/>
    <w:rsid w:val="00D37776"/>
    <w:rsid w:val="00D465D3"/>
    <w:rsid w:val="00D57007"/>
    <w:rsid w:val="00D5769A"/>
    <w:rsid w:val="00D72EDA"/>
    <w:rsid w:val="00DC30D6"/>
    <w:rsid w:val="00DC4F6C"/>
    <w:rsid w:val="00DD618C"/>
    <w:rsid w:val="00DD7018"/>
    <w:rsid w:val="00DF5CEE"/>
    <w:rsid w:val="00E025B5"/>
    <w:rsid w:val="00E03F2D"/>
    <w:rsid w:val="00E14FE6"/>
    <w:rsid w:val="00E23C50"/>
    <w:rsid w:val="00E441DA"/>
    <w:rsid w:val="00E44E11"/>
    <w:rsid w:val="00E53A95"/>
    <w:rsid w:val="00E865EC"/>
    <w:rsid w:val="00E95032"/>
    <w:rsid w:val="00EB1943"/>
    <w:rsid w:val="00EC2E1D"/>
    <w:rsid w:val="00ED1A56"/>
    <w:rsid w:val="00F0463D"/>
    <w:rsid w:val="00F050F0"/>
    <w:rsid w:val="00F120C3"/>
    <w:rsid w:val="00F13085"/>
    <w:rsid w:val="00F476EE"/>
    <w:rsid w:val="00F57F30"/>
    <w:rsid w:val="00F620EB"/>
    <w:rsid w:val="00F92779"/>
    <w:rsid w:val="00F9452E"/>
    <w:rsid w:val="00FA2A40"/>
    <w:rsid w:val="00FB5613"/>
    <w:rsid w:val="00FC0C95"/>
    <w:rsid w:val="00FE1D2F"/>
    <w:rsid w:val="00FF4676"/>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026F3E"/>
  <w15:docId w15:val="{8D6F23EE-DCA9-4533-A103-0306AEFAB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widowControl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jc w:val="center"/>
      <w:outlineLvl w:val="1"/>
    </w:pPr>
    <w:rPr>
      <w:rFonts w:eastAsia="Arial Unicode MS"/>
      <w:sz w:val="28"/>
    </w:rPr>
  </w:style>
  <w:style w:type="paragraph" w:styleId="Ttulo3">
    <w:name w:val="heading 3"/>
    <w:basedOn w:val="Normal"/>
    <w:next w:val="Normal"/>
    <w:qFormat/>
    <w:pPr>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semiHidden/>
    <w:rPr>
      <w:color w:val="0000FF"/>
      <w:u w:val="single"/>
    </w:rPr>
  </w:style>
  <w:style w:type="character" w:styleId="Forte">
    <w:name w:val="Strong"/>
    <w:uiPriority w:val="22"/>
    <w:qFormat/>
    <w:rPr>
      <w:b/>
      <w:bCs/>
    </w:rPr>
  </w:style>
  <w:style w:type="character" w:customStyle="1" w:styleId="Char">
    <w:name w:val="Char"/>
    <w:semiHidden/>
    <w:qFormat/>
    <w:rPr>
      <w:rFonts w:eastAsia="SimSun"/>
      <w:kern w:val="2"/>
      <w:lang w:eastAsia="zh-CN"/>
    </w:rPr>
  </w:style>
  <w:style w:type="character" w:customStyle="1" w:styleId="ncoradanotaderodap">
    <w:name w:val="Âncora da nota de rodapé"/>
    <w:rPr>
      <w:vertAlign w:val="superscript"/>
    </w:rPr>
  </w:style>
  <w:style w:type="character" w:customStyle="1" w:styleId="FootnoteCharacters">
    <w:name w:val="Footnote Characters"/>
    <w:semiHidden/>
    <w:unhideWhenUsed/>
    <w:qFormat/>
    <w:rPr>
      <w:vertAlign w:val="superscript"/>
    </w:rPr>
  </w:style>
  <w:style w:type="character" w:customStyle="1" w:styleId="Caracteresdenotaderodap">
    <w:name w:val="Caracteres de nota de rodapé"/>
    <w:qFormat/>
  </w:style>
  <w:style w:type="character" w:customStyle="1" w:styleId="TextodenotaderodapChar">
    <w:name w:val="Texto de nota de rodapé Char"/>
    <w:link w:val="Textodenotaderodap"/>
    <w:semiHidden/>
    <w:qFormat/>
    <w:rsid w:val="0046365B"/>
    <w:rPr>
      <w:rFonts w:eastAsia="SimSun"/>
      <w:kern w:val="2"/>
      <w:lang w:eastAsia="zh-CN"/>
    </w:rPr>
  </w:style>
  <w:style w:type="character" w:customStyle="1" w:styleId="TextodebaloChar">
    <w:name w:val="Texto de balão Char"/>
    <w:link w:val="Textodebalo"/>
    <w:uiPriority w:val="99"/>
    <w:semiHidden/>
    <w:qFormat/>
    <w:rsid w:val="00BE065D"/>
    <w:rPr>
      <w:rFonts w:ascii="Segoe UI" w:hAnsi="Segoe UI" w:cs="Segoe UI"/>
      <w:sz w:val="18"/>
      <w:szCs w:val="18"/>
    </w:rPr>
  </w:style>
  <w:style w:type="character" w:customStyle="1" w:styleId="ListLabel1">
    <w:name w:val="ListLabel 1"/>
    <w:qFormat/>
    <w:rPr>
      <w:color w:val="auto"/>
    </w:rPr>
  </w:style>
  <w:style w:type="character" w:customStyle="1" w:styleId="ListLabel2">
    <w:name w:val="ListLabel 2"/>
    <w:qFormat/>
    <w:rPr>
      <w:rFonts w:eastAsia="Times New Roman" w:cs="Arial"/>
    </w:rPr>
  </w:style>
  <w:style w:type="character" w:customStyle="1" w:styleId="ListLabel3">
    <w:name w:val="ListLabel 3"/>
    <w:qFormat/>
    <w:rPr>
      <w:rFonts w:eastAsia="Times New Roman" w:cs="Arial"/>
    </w:rPr>
  </w:style>
  <w:style w:type="character" w:customStyle="1" w:styleId="ListLabel4">
    <w:name w:val="ListLabel 4"/>
    <w:qFormat/>
    <w:rPr>
      <w:rFonts w:eastAsia="Times New Roman" w:cs="Times New Roman"/>
    </w:rPr>
  </w:style>
  <w:style w:type="character" w:customStyle="1" w:styleId="TextodecomentrioChar">
    <w:name w:val="Texto de comentário Char"/>
    <w:basedOn w:val="Fontepargpadro"/>
    <w:link w:val="Textodecomentrio"/>
    <w:uiPriority w:val="99"/>
    <w:semiHidden/>
    <w:qFormat/>
  </w:style>
  <w:style w:type="character" w:styleId="Refdecomentrio">
    <w:name w:val="annotation reference"/>
    <w:basedOn w:val="Fontepargpadro"/>
    <w:uiPriority w:val="99"/>
    <w:semiHidden/>
    <w:unhideWhenUsed/>
    <w:qFormat/>
    <w:rPr>
      <w:sz w:val="16"/>
      <w:szCs w:val="16"/>
    </w:rPr>
  </w:style>
  <w:style w:type="character" w:customStyle="1" w:styleId="AssuntodocomentrioChar">
    <w:name w:val="Assunto do comentário Char"/>
    <w:basedOn w:val="TextodecomentrioChar"/>
    <w:link w:val="Assuntodocomentrio"/>
    <w:uiPriority w:val="99"/>
    <w:semiHidden/>
    <w:qFormat/>
    <w:rsid w:val="00580A08"/>
    <w:rPr>
      <w:b/>
      <w:bCs/>
    </w:rPr>
  </w:style>
  <w:style w:type="paragraph" w:styleId="Ttulo">
    <w:name w:val="Title"/>
    <w:basedOn w:val="Normal"/>
    <w:next w:val="Corpodetexto"/>
    <w:qFormat/>
    <w:pPr>
      <w:jc w:val="center"/>
    </w:pPr>
    <w:rPr>
      <w:b/>
      <w:bCs/>
      <w:sz w:val="28"/>
    </w:rPr>
  </w:style>
  <w:style w:type="paragraph" w:styleId="Corpodetexto">
    <w:name w:val="Body Text"/>
    <w:basedOn w:val="Normal"/>
    <w:semiHidden/>
    <w:pPr>
      <w:widowControl w:val="0"/>
      <w:tabs>
        <w:tab w:val="left" w:pos="720"/>
      </w:tabs>
      <w:jc w:val="both"/>
    </w:pPr>
    <w:rPr>
      <w:sz w:val="28"/>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qFormat/>
    <w:pPr>
      <w:jc w:val="center"/>
      <w:textAlignment w:val="baseline"/>
    </w:pPr>
    <w:rPr>
      <w:rFonts w:ascii="Verdana" w:hAnsi="Verdana"/>
      <w:b/>
      <w:bCs/>
      <w:color w:val="0000FF"/>
      <w:szCs w:val="20"/>
    </w:rPr>
  </w:style>
  <w:style w:type="paragraph" w:styleId="Recuodecorpodetexto">
    <w:name w:val="Body Text Indent"/>
    <w:basedOn w:val="Normal"/>
    <w:semiHidden/>
    <w:pPr>
      <w:ind w:left="4678" w:firstLine="2"/>
      <w:jc w:val="both"/>
    </w:pPr>
    <w:rPr>
      <w:b/>
      <w:bCs/>
      <w:sz w:val="28"/>
    </w:rPr>
  </w:style>
  <w:style w:type="paragraph" w:styleId="NormalWeb">
    <w:name w:val="Normal (Web)"/>
    <w:basedOn w:val="Normal"/>
    <w:semiHidden/>
    <w:qFormat/>
    <w:pPr>
      <w:spacing w:beforeAutospacing="1" w:afterAutospacing="1"/>
    </w:pPr>
  </w:style>
  <w:style w:type="paragraph" w:styleId="Corpodetexto2">
    <w:name w:val="Body Text 2"/>
    <w:basedOn w:val="Normal"/>
    <w:semiHidden/>
    <w:qFormat/>
    <w:rPr>
      <w:sz w:val="28"/>
      <w:szCs w:val="18"/>
    </w:rPr>
  </w:style>
  <w:style w:type="paragraph" w:styleId="Corpodetexto3">
    <w:name w:val="Body Text 3"/>
    <w:basedOn w:val="Normal"/>
    <w:semiHidden/>
    <w:qFormat/>
    <w:pPr>
      <w:snapToGrid w:val="0"/>
      <w:jc w:val="both"/>
    </w:pPr>
    <w:rPr>
      <w:szCs w:val="20"/>
    </w:rPr>
  </w:style>
  <w:style w:type="paragraph" w:styleId="Recuodecorpodetexto2">
    <w:name w:val="Body Text Indent 2"/>
    <w:basedOn w:val="Normal"/>
    <w:semiHidden/>
    <w:qFormat/>
    <w:pPr>
      <w:ind w:left="2832"/>
      <w:jc w:val="both"/>
    </w:pPr>
    <w:rPr>
      <w:b/>
      <w:bCs/>
      <w:sz w:val="28"/>
    </w:rPr>
  </w:style>
  <w:style w:type="paragraph" w:customStyle="1" w:styleId="ecmsonormal">
    <w:name w:val="ec_msonormal"/>
    <w:basedOn w:val="Normal"/>
    <w:qFormat/>
    <w:pPr>
      <w:spacing w:after="324"/>
    </w:pPr>
  </w:style>
  <w:style w:type="paragraph" w:styleId="Textodenotaderodap">
    <w:name w:val="footnote text"/>
    <w:basedOn w:val="Normal"/>
    <w:link w:val="TextodenotaderodapChar"/>
    <w:semiHidden/>
    <w:unhideWhenUsed/>
    <w:pPr>
      <w:widowControl w:val="0"/>
      <w:suppressLineNumbers/>
      <w:suppressAutoHyphens/>
      <w:ind w:left="339" w:hanging="339"/>
    </w:pPr>
    <w:rPr>
      <w:rFonts w:eastAsia="SimSun"/>
      <w:kern w:val="2"/>
      <w:sz w:val="20"/>
      <w:szCs w:val="20"/>
      <w:lang w:eastAsia="zh-CN"/>
    </w:rPr>
  </w:style>
  <w:style w:type="paragraph" w:customStyle="1" w:styleId="Padre3o">
    <w:name w:val="Padrãe3o"/>
    <w:qFormat/>
    <w:pPr>
      <w:widowControl w:val="0"/>
    </w:pPr>
    <w:rPr>
      <w:kern w:val="2"/>
      <w:sz w:val="24"/>
      <w:szCs w:val="24"/>
      <w:lang w:eastAsia="zh-CN"/>
    </w:rPr>
  </w:style>
  <w:style w:type="paragraph" w:customStyle="1" w:styleId="Padre3e3o">
    <w:name w:val="Padrãe3e3o"/>
    <w:qFormat/>
    <w:pPr>
      <w:widowControl w:val="0"/>
    </w:pPr>
    <w:rPr>
      <w:kern w:val="2"/>
      <w:sz w:val="24"/>
      <w:szCs w:val="24"/>
      <w:lang w:eastAsia="zh-CN"/>
    </w:rPr>
  </w:style>
  <w:style w:type="paragraph" w:styleId="Recuodecorpodetexto3">
    <w:name w:val="Body Text Indent 3"/>
    <w:basedOn w:val="Normal"/>
    <w:semiHidden/>
    <w:qFormat/>
    <w:pPr>
      <w:spacing w:line="360" w:lineRule="auto"/>
      <w:ind w:left="4248"/>
      <w:jc w:val="both"/>
    </w:pPr>
    <w:rPr>
      <w:b/>
      <w:szCs w:val="25"/>
    </w:rPr>
  </w:style>
  <w:style w:type="paragraph" w:customStyle="1" w:styleId="Default">
    <w:name w:val="Default"/>
    <w:qFormat/>
    <w:rsid w:val="00847E49"/>
    <w:rPr>
      <w:rFonts w:eastAsia="Calibri"/>
      <w:color w:val="000000"/>
      <w:sz w:val="24"/>
      <w:szCs w:val="24"/>
      <w:lang w:eastAsia="en-US"/>
    </w:rPr>
  </w:style>
  <w:style w:type="paragraph" w:styleId="Textodebalo">
    <w:name w:val="Balloon Text"/>
    <w:basedOn w:val="Normal"/>
    <w:link w:val="TextodebaloChar"/>
    <w:uiPriority w:val="99"/>
    <w:semiHidden/>
    <w:unhideWhenUsed/>
    <w:qFormat/>
    <w:rsid w:val="00BE065D"/>
    <w:rPr>
      <w:rFonts w:ascii="Segoe UI" w:hAnsi="Segoe UI" w:cs="Segoe UI"/>
      <w:sz w:val="18"/>
      <w:szCs w:val="18"/>
    </w:rPr>
  </w:style>
  <w:style w:type="paragraph" w:styleId="PargrafodaLista">
    <w:name w:val="List Paragraph"/>
    <w:basedOn w:val="Normal"/>
    <w:uiPriority w:val="34"/>
    <w:qFormat/>
    <w:rsid w:val="009479C2"/>
    <w:pPr>
      <w:ind w:left="708"/>
    </w:pPr>
  </w:style>
  <w:style w:type="paragraph" w:styleId="Textodecomentrio">
    <w:name w:val="annotation text"/>
    <w:basedOn w:val="Normal"/>
    <w:link w:val="TextodecomentrioChar"/>
    <w:uiPriority w:val="99"/>
    <w:semiHidden/>
    <w:unhideWhenUsed/>
    <w:qFormat/>
    <w:rPr>
      <w:sz w:val="20"/>
      <w:szCs w:val="20"/>
    </w:rPr>
  </w:style>
  <w:style w:type="paragraph" w:styleId="Assuntodocomentrio">
    <w:name w:val="annotation subject"/>
    <w:basedOn w:val="Textodecomentrio"/>
    <w:next w:val="Textodecomentrio"/>
    <w:link w:val="AssuntodocomentrioChar"/>
    <w:uiPriority w:val="99"/>
    <w:semiHidden/>
    <w:unhideWhenUsed/>
    <w:qFormat/>
    <w:rsid w:val="00580A08"/>
    <w:rPr>
      <w:b/>
      <w:bCs/>
    </w:rPr>
  </w:style>
  <w:style w:type="paragraph" w:styleId="Reviso">
    <w:name w:val="Revision"/>
    <w:uiPriority w:val="99"/>
    <w:semiHidden/>
    <w:qFormat/>
    <w:rsid w:val="00E00B4D"/>
    <w:rPr>
      <w:sz w:val="24"/>
      <w:szCs w:val="24"/>
    </w:rPr>
  </w:style>
  <w:style w:type="character" w:styleId="Hyperlink">
    <w:name w:val="Hyperlink"/>
    <w:basedOn w:val="Fontepargpadro"/>
    <w:uiPriority w:val="99"/>
    <w:unhideWhenUsed/>
    <w:rsid w:val="00926805"/>
    <w:rPr>
      <w:color w:val="0563C1" w:themeColor="hyperlink"/>
      <w:u w:val="single"/>
    </w:rPr>
  </w:style>
  <w:style w:type="character" w:styleId="MenoPendente">
    <w:name w:val="Unresolved Mention"/>
    <w:basedOn w:val="Fontepargpadro"/>
    <w:uiPriority w:val="99"/>
    <w:semiHidden/>
    <w:unhideWhenUsed/>
    <w:rsid w:val="00926805"/>
    <w:rPr>
      <w:color w:val="605E5C"/>
      <w:shd w:val="clear" w:color="auto" w:fill="E1DFDD"/>
    </w:rPr>
  </w:style>
  <w:style w:type="character" w:styleId="HiperlinkVisitado">
    <w:name w:val="FollowedHyperlink"/>
    <w:basedOn w:val="Fontepargpadro"/>
    <w:uiPriority w:val="99"/>
    <w:semiHidden/>
    <w:unhideWhenUsed/>
    <w:rsid w:val="003156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281690">
      <w:bodyDiv w:val="1"/>
      <w:marLeft w:val="0"/>
      <w:marRight w:val="0"/>
      <w:marTop w:val="0"/>
      <w:marBottom w:val="0"/>
      <w:divBdr>
        <w:top w:val="none" w:sz="0" w:space="0" w:color="auto"/>
        <w:left w:val="none" w:sz="0" w:space="0" w:color="auto"/>
        <w:bottom w:val="none" w:sz="0" w:space="0" w:color="auto"/>
        <w:right w:val="none" w:sz="0" w:space="0" w:color="auto"/>
      </w:divBdr>
      <w:divsChild>
        <w:div w:id="50844904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75B65-42D2-4D44-9FF2-97DAEB5D3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Pages>
  <Words>932</Words>
  <Characters>5039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CMPA</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Tiago Pires Fidelis da Luz</cp:lastModifiedBy>
  <cp:revision>12</cp:revision>
  <cp:lastPrinted>2015-02-24T14:27:00Z</cp:lastPrinted>
  <dcterms:created xsi:type="dcterms:W3CDTF">2022-12-16T18:06:00Z</dcterms:created>
  <dcterms:modified xsi:type="dcterms:W3CDTF">2023-02-27T13:28:00Z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CMPA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