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38FCD92C" w14:textId="58C5004C" w:rsidR="00A268BC" w:rsidRPr="00A268BC" w:rsidRDefault="00A268BC" w:rsidP="00B145A7">
      <w:pPr>
        <w:ind w:firstLine="1418"/>
        <w:jc w:val="both"/>
        <w:rPr>
          <w:bCs/>
        </w:rPr>
      </w:pPr>
      <w:r w:rsidRPr="00A268BC">
        <w:rPr>
          <w:bCs/>
        </w:rPr>
        <w:t xml:space="preserve">A taxa de permanência é cobrada exclusivamente em razão de prestação de serviços públicos de atendimento ao contribuinte, proprietário do veículo </w:t>
      </w:r>
      <w:r w:rsidR="00916E51">
        <w:rPr>
          <w:bCs/>
        </w:rPr>
        <w:t>apreendido</w:t>
      </w:r>
      <w:r w:rsidRPr="00A268BC">
        <w:rPr>
          <w:bCs/>
        </w:rPr>
        <w:t>.</w:t>
      </w:r>
    </w:p>
    <w:p w14:paraId="57244600" w14:textId="77777777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59E3FC0" w14:textId="18A95AF9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268BC">
        <w:rPr>
          <w:bCs/>
        </w:rPr>
        <w:t xml:space="preserve">Ora: o pagamento da taxa é requisito para fins de liberação do veículo apreendido por infração de trânsito. Logo, o fundamento jurídico da cobrança da taxa tem a ver com a possibilidade de exercício do direito de retirada do veículo pelo seu proprietário, o que está diretamente relacionado ao oferecimento do serviço de atendimento ao proprietário do veículo </w:t>
      </w:r>
      <w:r w:rsidR="00916E51">
        <w:rPr>
          <w:bCs/>
        </w:rPr>
        <w:t>apreendido</w:t>
      </w:r>
      <w:r w:rsidRPr="00A268BC">
        <w:rPr>
          <w:bCs/>
        </w:rPr>
        <w:t>.</w:t>
      </w:r>
    </w:p>
    <w:p w14:paraId="430062BF" w14:textId="77777777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0D9037F" w14:textId="3413C37F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268BC">
        <w:rPr>
          <w:bCs/>
        </w:rPr>
        <w:t>Isso porque a taxa somente pode ser instituída em razão do (a): efetivo exercício do poder de polícia (fiscalização); e (b) utilização efetiva ou potencial de um serviço público específico e divisível – art. 77, do Código Tributário Nacional (CTN). Trata-se de instrumento tributário que, nas situações envolvendo serviço público, pressupõe a utilização potencial de serviço público específico e divisível. Se o proprietário fica impedido de retirar seu veículo porque o depósito não funciona ou tem seu funcionamento interrompido, não há ocorrência do fato gerador, uma vez que o fato gerador da taxa corresponde ao prazo em que o veículo permanece em depósito público, por ausência de opção de retirada feita pelo proprietário – opção essa que deixa de existir quando o depósito não oferece atendimento ao público.</w:t>
      </w:r>
    </w:p>
    <w:p w14:paraId="2067C4E7" w14:textId="77777777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7F99A60" w14:textId="77777777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268BC">
        <w:rPr>
          <w:bCs/>
        </w:rPr>
        <w:t>Ao deixar de funcionar, o depósito não possibilita a opção de retirada do veículo pelo seu proprietário.</w:t>
      </w:r>
    </w:p>
    <w:p w14:paraId="4DA42CA7" w14:textId="77777777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E51E7AC" w14:textId="77777777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268BC">
        <w:rPr>
          <w:bCs/>
        </w:rPr>
        <w:t>Portanto, a cobrança da taxa só pode ser efetivada nos dias em que há possibilidade de retirada do veículo seu proprietário, já que o serviço público de atendimento ao contribuinte é fato gerador da referida taxa. Ademais, para fins de cobrança da taxa, o veículo deve permanecer, por, pelo menos, um dia em depósito público, o que, igualmente, pressupõe o funcionamento em horário regular do depósito em questão.</w:t>
      </w:r>
    </w:p>
    <w:p w14:paraId="173185A2" w14:textId="77777777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1E04AA7" w14:textId="753FAC16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268BC">
        <w:rPr>
          <w:bCs/>
        </w:rPr>
        <w:t xml:space="preserve">A taxa é um tributo </w:t>
      </w:r>
      <w:proofErr w:type="spellStart"/>
      <w:r w:rsidRPr="00A268BC">
        <w:rPr>
          <w:bCs/>
        </w:rPr>
        <w:t>contraprestacional</w:t>
      </w:r>
      <w:proofErr w:type="spellEnd"/>
      <w:r w:rsidRPr="00A268BC">
        <w:rPr>
          <w:bCs/>
        </w:rPr>
        <w:t xml:space="preserve">. O contribuinte, ao pagá-la, recebe do Estado um serviço específico, direcionado a um determinado contribuinte. Ao </w:t>
      </w:r>
      <w:r w:rsidR="008A54D4">
        <w:rPr>
          <w:bCs/>
        </w:rPr>
        <w:t xml:space="preserve">ser paga </w:t>
      </w:r>
      <w:r w:rsidRPr="00A268BC">
        <w:rPr>
          <w:bCs/>
        </w:rPr>
        <w:t>a taxa, o Estado devolve um serviço específico, direcionando-o a um determinado contribuinte, ou exerce o poder de polícia.</w:t>
      </w:r>
    </w:p>
    <w:p w14:paraId="749CC859" w14:textId="77777777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F9907F4" w14:textId="7ACE8A7B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268BC">
        <w:rPr>
          <w:bCs/>
        </w:rPr>
        <w:t>De acordo com o Supremo Tribunal Federal:</w:t>
      </w:r>
      <w:r w:rsidR="008A54D4">
        <w:rPr>
          <w:bCs/>
        </w:rPr>
        <w:t xml:space="preserve"> </w:t>
      </w:r>
      <w:r w:rsidRPr="00A268BC">
        <w:rPr>
          <w:bCs/>
        </w:rPr>
        <w:t xml:space="preserve">“deve haver correspondência entre o valor exigido e o custo da atividade estatal. A taxa, enquanto contraprestação a uma atividade do Poder Público, não pode superar a relação de razoável equivalência que deve existir entre o custo real da atuação estatal referida ao contribuinte e o valor que o Estado pode exigir de cada contribuinte, considerados, para esse efeito, os elementos pertinentes às alíquotas e à base de cálculo fixadas em lei. Se o valor da taxa, no entanto, ultrapassar o custo do serviço prestado ou posto à disposição do contribuinte, dando causa, assim, a uma situação de onerosidade excessiva, que descaracterize essa relação de equivalência entre os fatores referidos (o custo real do serviço, de um lado, e o valor exigido do contribuinte, de outro), configurar-se-á, então, quanto a essa modalidade de tributo, hipótese de ofensa à cláusula </w:t>
      </w:r>
      <w:proofErr w:type="spellStart"/>
      <w:r w:rsidRPr="00A268BC">
        <w:rPr>
          <w:bCs/>
        </w:rPr>
        <w:t>vedatória</w:t>
      </w:r>
      <w:proofErr w:type="spellEnd"/>
      <w:r w:rsidRPr="00A268BC">
        <w:rPr>
          <w:bCs/>
        </w:rPr>
        <w:t xml:space="preserve"> inscrita no art. 150, IV, da CF” (ADI 2.551-MC-QO, Rel. Min. Celso de Mello, julgamento em 2-4-2003, Plenário, DJ de 20-4-2006).</w:t>
      </w:r>
    </w:p>
    <w:p w14:paraId="2CD3079D" w14:textId="77777777" w:rsidR="00A268BC" w:rsidRPr="00A268BC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FB933AB" w14:textId="3DA4361F" w:rsidR="00641CDA" w:rsidRPr="00641CDA" w:rsidRDefault="00A268BC" w:rsidP="00A268B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268BC">
        <w:rPr>
          <w:bCs/>
        </w:rPr>
        <w:lastRenderedPageBreak/>
        <w:t xml:space="preserve">Portanto, os proprietários dos veículos </w:t>
      </w:r>
      <w:r w:rsidR="00916E51">
        <w:rPr>
          <w:bCs/>
        </w:rPr>
        <w:t>apreendidos</w:t>
      </w:r>
      <w:r w:rsidR="00916E51" w:rsidRPr="00A268BC">
        <w:rPr>
          <w:bCs/>
        </w:rPr>
        <w:t xml:space="preserve"> </w:t>
      </w:r>
      <w:r w:rsidRPr="00A268BC">
        <w:rPr>
          <w:bCs/>
        </w:rPr>
        <w:t xml:space="preserve">não podem ser obrigados a pagar por serviço não potencialmente prestado pelo depositário, como nos casos dispostos por este Projeto de Lei, quais sejam: nos dias de fechamento parcial ou total do depósito em que situado o veículo </w:t>
      </w:r>
      <w:r w:rsidR="00916E51">
        <w:rPr>
          <w:bCs/>
        </w:rPr>
        <w:t>apreendido</w:t>
      </w:r>
      <w:r w:rsidRPr="00A268BC">
        <w:rPr>
          <w:bCs/>
        </w:rPr>
        <w:t>.</w:t>
      </w:r>
    </w:p>
    <w:p w14:paraId="704F82E1" w14:textId="77777777" w:rsidR="00160AE1" w:rsidRDefault="00160AE1" w:rsidP="00641CDA">
      <w:pPr>
        <w:autoSpaceDE w:val="0"/>
        <w:autoSpaceDN w:val="0"/>
        <w:adjustRightInd w:val="0"/>
        <w:ind w:firstLine="1418"/>
        <w:jc w:val="both"/>
      </w:pPr>
    </w:p>
    <w:p w14:paraId="25AAAB4F" w14:textId="30D63446" w:rsidR="00DF120B" w:rsidRPr="00DF120B" w:rsidRDefault="00DF120B" w:rsidP="00641CDA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8A54D4">
        <w:t>22</w:t>
      </w:r>
      <w:r w:rsidR="001D0A79">
        <w:t xml:space="preserve"> </w:t>
      </w:r>
      <w:r w:rsidRPr="00DF120B">
        <w:t xml:space="preserve">de </w:t>
      </w:r>
      <w:r w:rsidR="008A54D4">
        <w:t xml:space="preserve">dezembro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4B2373">
        <w:t>2</w:t>
      </w:r>
      <w:r w:rsidR="00994AD6">
        <w:t>.</w:t>
      </w: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2F13DD83" w14:textId="77777777" w:rsidR="00462304" w:rsidRDefault="00462304" w:rsidP="0098604A">
      <w:pPr>
        <w:autoSpaceDE w:val="0"/>
        <w:autoSpaceDN w:val="0"/>
        <w:adjustRightInd w:val="0"/>
        <w:ind w:firstLine="1418"/>
        <w:jc w:val="center"/>
      </w:pPr>
    </w:p>
    <w:p w14:paraId="2825B632" w14:textId="77777777" w:rsidR="00462304" w:rsidRDefault="00462304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31093726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5179F3">
        <w:t>MÁRCIO BINS ELY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588E061" w14:textId="1BDA24BC" w:rsidR="00CF3C4B" w:rsidRPr="004B2373" w:rsidRDefault="0059283A" w:rsidP="009D3B5B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  <w:iCs/>
          <w:color w:val="000000"/>
        </w:rPr>
        <w:t xml:space="preserve">Veda, no Município de Porto Alegre, </w:t>
      </w:r>
      <w:r w:rsidR="008A54D4" w:rsidRPr="008A54D4">
        <w:rPr>
          <w:b/>
          <w:bCs/>
          <w:iCs/>
          <w:color w:val="000000"/>
        </w:rPr>
        <w:t xml:space="preserve">a cobrança de taxa diária de permanência em depósito de veículo </w:t>
      </w:r>
      <w:r w:rsidR="00916E51">
        <w:rPr>
          <w:b/>
          <w:bCs/>
          <w:iCs/>
          <w:color w:val="000000"/>
        </w:rPr>
        <w:t>apreendido</w:t>
      </w:r>
      <w:r w:rsidR="00916E51" w:rsidRPr="008A54D4">
        <w:rPr>
          <w:b/>
          <w:bCs/>
          <w:iCs/>
          <w:color w:val="000000"/>
        </w:rPr>
        <w:t xml:space="preserve"> </w:t>
      </w:r>
      <w:r w:rsidR="008A54D4" w:rsidRPr="008A54D4">
        <w:rPr>
          <w:b/>
          <w:bCs/>
          <w:iCs/>
          <w:color w:val="000000"/>
        </w:rPr>
        <w:t>por infração ao Código de Trânsito Brasileiro</w:t>
      </w:r>
      <w:r>
        <w:rPr>
          <w:b/>
          <w:bCs/>
          <w:iCs/>
          <w:color w:val="000000"/>
        </w:rPr>
        <w:t xml:space="preserve"> referente aos dias de fechamento parcial ou total do depósito</w:t>
      </w:r>
      <w:r w:rsidR="008F6D86" w:rsidRPr="004B2373">
        <w:rPr>
          <w:b/>
          <w:bCs/>
          <w:iCs/>
          <w:color w:val="000000"/>
        </w:rPr>
        <w:t>.</w:t>
      </w:r>
    </w:p>
    <w:p w14:paraId="3F149A51" w14:textId="755B7196" w:rsidR="009B2D1F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0218632" w14:textId="77777777" w:rsidR="009D3B5B" w:rsidRPr="00922830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1847966" w14:textId="2D2EC7AB" w:rsidR="008A54D4" w:rsidRPr="008A54D4" w:rsidRDefault="008A54D4" w:rsidP="008A54D4">
      <w:pPr>
        <w:autoSpaceDE w:val="0"/>
        <w:autoSpaceDN w:val="0"/>
        <w:adjustRightInd w:val="0"/>
        <w:ind w:firstLine="1418"/>
        <w:jc w:val="both"/>
      </w:pPr>
      <w:r w:rsidRPr="008A54D4">
        <w:rPr>
          <w:b/>
          <w:bCs/>
        </w:rPr>
        <w:t>Art. 1</w:t>
      </w:r>
      <w:proofErr w:type="gramStart"/>
      <w:r w:rsidRPr="008A54D4">
        <w:rPr>
          <w:b/>
          <w:bCs/>
        </w:rPr>
        <w:t xml:space="preserve">º </w:t>
      </w:r>
      <w:r>
        <w:rPr>
          <w:b/>
          <w:bCs/>
        </w:rPr>
        <w:t xml:space="preserve"> </w:t>
      </w:r>
      <w:r w:rsidR="0059283A" w:rsidRPr="00B145A7">
        <w:t>Fica</w:t>
      </w:r>
      <w:proofErr w:type="gramEnd"/>
      <w:r w:rsidR="0059283A">
        <w:rPr>
          <w:b/>
          <w:bCs/>
        </w:rPr>
        <w:t xml:space="preserve"> </w:t>
      </w:r>
      <w:r w:rsidR="0059283A" w:rsidRPr="00B145A7">
        <w:t>vedada</w:t>
      </w:r>
      <w:r w:rsidR="0059283A">
        <w:t>, no Município de Porto Alegre,</w:t>
      </w:r>
      <w:r w:rsidRPr="008A54D4">
        <w:t xml:space="preserve"> a cobrança da taxa diária de permanência em depósito de veículo </w:t>
      </w:r>
      <w:r w:rsidR="00916E51">
        <w:t xml:space="preserve">apreendido </w:t>
      </w:r>
      <w:r w:rsidRPr="008A54D4">
        <w:t>por infração ao Código de Trânsito Brasileiro</w:t>
      </w:r>
      <w:r w:rsidR="0059283A">
        <w:t>, referente aos dias de fechamento parcial ou total do depósito em que se situe o veículo.</w:t>
      </w:r>
      <w:r w:rsidRPr="008A54D4">
        <w:t xml:space="preserve"> </w:t>
      </w:r>
    </w:p>
    <w:p w14:paraId="023226BC" w14:textId="77777777" w:rsidR="008A54D4" w:rsidRPr="008A54D4" w:rsidRDefault="008A54D4" w:rsidP="008A54D4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2D5AF2BC" w14:textId="59C9F435" w:rsidR="00C26A33" w:rsidRPr="008A54D4" w:rsidRDefault="008A54D4" w:rsidP="008A54D4">
      <w:pPr>
        <w:autoSpaceDE w:val="0"/>
        <w:autoSpaceDN w:val="0"/>
        <w:adjustRightInd w:val="0"/>
        <w:ind w:firstLine="1418"/>
        <w:jc w:val="both"/>
      </w:pPr>
      <w:r w:rsidRPr="008A54D4">
        <w:rPr>
          <w:b/>
          <w:bCs/>
        </w:rPr>
        <w:t>Art. 2</w:t>
      </w:r>
      <w:proofErr w:type="gramStart"/>
      <w:r w:rsidRPr="008A54D4">
        <w:rPr>
          <w:b/>
          <w:bCs/>
        </w:rPr>
        <w:t xml:space="preserve">º </w:t>
      </w:r>
      <w:r>
        <w:rPr>
          <w:b/>
          <w:bCs/>
        </w:rPr>
        <w:t xml:space="preserve"> </w:t>
      </w:r>
      <w:r w:rsidRPr="008A54D4">
        <w:t>Esta</w:t>
      </w:r>
      <w:proofErr w:type="gramEnd"/>
      <w:r w:rsidRPr="008A54D4">
        <w:t xml:space="preserve"> Lei entra em vigor na data de sua publicação.</w:t>
      </w: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7170C15C" w:rsidR="009D3B5B" w:rsidRDefault="00E118F8" w:rsidP="00DE4A7E">
      <w:pPr>
        <w:tabs>
          <w:tab w:val="left" w:pos="8421"/>
        </w:tabs>
        <w:autoSpaceDE w:val="0"/>
        <w:autoSpaceDN w:val="0"/>
        <w:adjustRightInd w:val="0"/>
        <w:ind w:firstLine="1418"/>
        <w:jc w:val="both"/>
      </w:pPr>
      <w:r>
        <w:tab/>
      </w: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D070F1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12DB508F" w14:textId="02AE3806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0A7E8E3" w14:textId="749E3AD5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5440393" w14:textId="4D4A048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B9C9F10" w14:textId="328EF17E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30D34FF5" w14:textId="35AF340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1D6C026E" w14:textId="53A6028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2BC340A" w14:textId="2925172F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0EF73EB8" w14:textId="3E2DC7C0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D54DF59" w14:textId="7777777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33AA7B3B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BA35A5">
        <w:rPr>
          <w:bCs/>
          <w:color w:val="000000"/>
          <w:sz w:val="20"/>
          <w:szCs w:val="20"/>
        </w:rPr>
        <w:t>TPFL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4048" w14:textId="77777777" w:rsidR="00EC37BA" w:rsidRDefault="00EC37BA">
      <w:r>
        <w:separator/>
      </w:r>
    </w:p>
  </w:endnote>
  <w:endnote w:type="continuationSeparator" w:id="0">
    <w:p w14:paraId="5FFE5D0D" w14:textId="77777777" w:rsidR="00EC37BA" w:rsidRDefault="00E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97E3" w14:textId="77777777" w:rsidR="00EC37BA" w:rsidRDefault="00EC37BA">
      <w:r>
        <w:separator/>
      </w:r>
    </w:p>
  </w:footnote>
  <w:footnote w:type="continuationSeparator" w:id="0">
    <w:p w14:paraId="4EB73A84" w14:textId="77777777" w:rsidR="00EC37BA" w:rsidRDefault="00EC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096A21FC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B2373">
      <w:rPr>
        <w:b/>
        <w:bCs/>
      </w:rPr>
      <w:t>0</w:t>
    </w:r>
    <w:r w:rsidR="00A268BC">
      <w:rPr>
        <w:b/>
        <w:bCs/>
      </w:rPr>
      <w:t>922</w:t>
    </w:r>
    <w:r w:rsidR="00244AC2">
      <w:rPr>
        <w:b/>
        <w:bCs/>
      </w:rPr>
      <w:t>/</w:t>
    </w:r>
    <w:r w:rsidR="009D3B5B">
      <w:rPr>
        <w:b/>
        <w:bCs/>
      </w:rPr>
      <w:t>2</w:t>
    </w:r>
    <w:r w:rsidR="004B2373">
      <w:rPr>
        <w:b/>
        <w:bCs/>
      </w:rPr>
      <w:t>2</w:t>
    </w:r>
  </w:p>
  <w:p w14:paraId="7F3C66EC" w14:textId="26943E5B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A268BC">
      <w:rPr>
        <w:b/>
        <w:bCs/>
      </w:rPr>
      <w:t>453</w:t>
    </w:r>
    <w:r w:rsidR="00244AC2">
      <w:rPr>
        <w:b/>
        <w:bCs/>
      </w:rPr>
      <w:t>/</w:t>
    </w:r>
    <w:r w:rsidR="005853D2">
      <w:rPr>
        <w:b/>
        <w:bCs/>
      </w:rPr>
      <w:t>2</w:t>
    </w:r>
    <w:r w:rsidR="004B2373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7680F"/>
    <w:rsid w:val="00080978"/>
    <w:rsid w:val="00081829"/>
    <w:rsid w:val="00081B47"/>
    <w:rsid w:val="00084781"/>
    <w:rsid w:val="00085E5E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0AE1"/>
    <w:rsid w:val="0016162F"/>
    <w:rsid w:val="00162FB4"/>
    <w:rsid w:val="00163F93"/>
    <w:rsid w:val="00165012"/>
    <w:rsid w:val="00167540"/>
    <w:rsid w:val="00177713"/>
    <w:rsid w:val="001777BC"/>
    <w:rsid w:val="00182EA7"/>
    <w:rsid w:val="00183E61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B3E55"/>
    <w:rsid w:val="001C391E"/>
    <w:rsid w:val="001C4AB5"/>
    <w:rsid w:val="001C6607"/>
    <w:rsid w:val="001C7934"/>
    <w:rsid w:val="001D0A79"/>
    <w:rsid w:val="001E1419"/>
    <w:rsid w:val="001E3DF0"/>
    <w:rsid w:val="001E4B92"/>
    <w:rsid w:val="001E76A4"/>
    <w:rsid w:val="001E7B93"/>
    <w:rsid w:val="001F2098"/>
    <w:rsid w:val="001F2AB9"/>
    <w:rsid w:val="001F2D5C"/>
    <w:rsid w:val="001F48B4"/>
    <w:rsid w:val="001F4EC3"/>
    <w:rsid w:val="001F7BB8"/>
    <w:rsid w:val="00211D67"/>
    <w:rsid w:val="0021457C"/>
    <w:rsid w:val="00214B5D"/>
    <w:rsid w:val="00214C47"/>
    <w:rsid w:val="00227F26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97D73"/>
    <w:rsid w:val="002A113B"/>
    <w:rsid w:val="002B1502"/>
    <w:rsid w:val="002B314F"/>
    <w:rsid w:val="002B381B"/>
    <w:rsid w:val="002B4520"/>
    <w:rsid w:val="002B7220"/>
    <w:rsid w:val="002B7B38"/>
    <w:rsid w:val="002C152B"/>
    <w:rsid w:val="002C3B98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1799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2304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2373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0094A"/>
    <w:rsid w:val="00514C02"/>
    <w:rsid w:val="00515914"/>
    <w:rsid w:val="005179F3"/>
    <w:rsid w:val="0052200B"/>
    <w:rsid w:val="00525269"/>
    <w:rsid w:val="005266CE"/>
    <w:rsid w:val="0053009C"/>
    <w:rsid w:val="00532255"/>
    <w:rsid w:val="005327FA"/>
    <w:rsid w:val="005411B3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9283A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077E"/>
    <w:rsid w:val="006377A8"/>
    <w:rsid w:val="00641545"/>
    <w:rsid w:val="006415EC"/>
    <w:rsid w:val="00641CDA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4ED1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1324"/>
    <w:rsid w:val="0087428A"/>
    <w:rsid w:val="008762D4"/>
    <w:rsid w:val="00881064"/>
    <w:rsid w:val="00883EDC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54D4"/>
    <w:rsid w:val="008A6AEC"/>
    <w:rsid w:val="008B0A20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8F6D86"/>
    <w:rsid w:val="009046A0"/>
    <w:rsid w:val="00905B3F"/>
    <w:rsid w:val="00911B86"/>
    <w:rsid w:val="00912747"/>
    <w:rsid w:val="00913195"/>
    <w:rsid w:val="009148A8"/>
    <w:rsid w:val="00915FA4"/>
    <w:rsid w:val="00916E51"/>
    <w:rsid w:val="00922830"/>
    <w:rsid w:val="009233F1"/>
    <w:rsid w:val="00931C2E"/>
    <w:rsid w:val="00933603"/>
    <w:rsid w:val="0094126D"/>
    <w:rsid w:val="00947DB0"/>
    <w:rsid w:val="009562BC"/>
    <w:rsid w:val="009567D7"/>
    <w:rsid w:val="0096099E"/>
    <w:rsid w:val="00961994"/>
    <w:rsid w:val="009619EB"/>
    <w:rsid w:val="00961E7B"/>
    <w:rsid w:val="0096458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555"/>
    <w:rsid w:val="009A3EA1"/>
    <w:rsid w:val="009A4AFA"/>
    <w:rsid w:val="009A5368"/>
    <w:rsid w:val="009B14D5"/>
    <w:rsid w:val="009B22FE"/>
    <w:rsid w:val="009B2D1F"/>
    <w:rsid w:val="009B3F92"/>
    <w:rsid w:val="009B4CF4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8BC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54FB9"/>
    <w:rsid w:val="00A61750"/>
    <w:rsid w:val="00A61864"/>
    <w:rsid w:val="00A65921"/>
    <w:rsid w:val="00A65BD5"/>
    <w:rsid w:val="00A67574"/>
    <w:rsid w:val="00A71FED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45A7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35A5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3121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65F59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1EAB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5E3B"/>
    <w:rsid w:val="00D96779"/>
    <w:rsid w:val="00D96C07"/>
    <w:rsid w:val="00DA4244"/>
    <w:rsid w:val="00DA6B4F"/>
    <w:rsid w:val="00DB1865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4A7E"/>
    <w:rsid w:val="00DE5B99"/>
    <w:rsid w:val="00DE6543"/>
    <w:rsid w:val="00DE749B"/>
    <w:rsid w:val="00DF1088"/>
    <w:rsid w:val="00DF120B"/>
    <w:rsid w:val="00DF5149"/>
    <w:rsid w:val="00E00B36"/>
    <w:rsid w:val="00E01257"/>
    <w:rsid w:val="00E019CF"/>
    <w:rsid w:val="00E01E91"/>
    <w:rsid w:val="00E10E6D"/>
    <w:rsid w:val="00E118F8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37BA"/>
    <w:rsid w:val="00EC4054"/>
    <w:rsid w:val="00EC6CF5"/>
    <w:rsid w:val="00ED05E0"/>
    <w:rsid w:val="00ED4317"/>
    <w:rsid w:val="00ED439A"/>
    <w:rsid w:val="00ED5A81"/>
    <w:rsid w:val="00EF3150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53C5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67E02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  <w:style w:type="character" w:customStyle="1" w:styleId="MenoPendente5">
    <w:name w:val="Menção Pendente5"/>
    <w:basedOn w:val="Fontepargpadro"/>
    <w:uiPriority w:val="99"/>
    <w:semiHidden/>
    <w:unhideWhenUsed/>
    <w:rsid w:val="001F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EF90-ADB3-41C7-BA39-A4A747CD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35</TotalTime>
  <Pages>3</Pages>
  <Words>658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Tiago Pires Fidelis da Luz</cp:lastModifiedBy>
  <cp:revision>8</cp:revision>
  <cp:lastPrinted>2019-06-10T15:07:00Z</cp:lastPrinted>
  <dcterms:created xsi:type="dcterms:W3CDTF">2023-01-27T14:55:00Z</dcterms:created>
  <dcterms:modified xsi:type="dcterms:W3CDTF">2023-03-06T17:16:00Z</dcterms:modified>
</cp:coreProperties>
</file>