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1F8D0277" w14:textId="77777777" w:rsidR="008B6BF2" w:rsidRDefault="008B6BF2">
      <w:pPr>
        <w:ind w:firstLine="1418"/>
        <w:jc w:val="center"/>
      </w:pPr>
    </w:p>
    <w:p w14:paraId="7EC3CA94" w14:textId="639E11E4" w:rsidR="00FD3058" w:rsidRPr="00FD3058" w:rsidRDefault="00FD3058" w:rsidP="00FD3058">
      <w:pPr>
        <w:autoSpaceDE w:val="0"/>
        <w:ind w:firstLine="1418"/>
        <w:jc w:val="both"/>
        <w:rPr>
          <w:bCs/>
        </w:rPr>
      </w:pPr>
      <w:r w:rsidRPr="00FD3058">
        <w:rPr>
          <w:bCs/>
        </w:rPr>
        <w:t>Em referência ao que está exposto na Constituição de 1988 em matéria de garantias e direitos, estas desconhecem credo, etnia, situação econômica, orientação sexual. Desta forma, os indivíduos, indistintamente, seriam beneficiados por uma igualdade de direitos civis, políticos e sociais. Com isso, atento apenas ao texto da Carta Magna</w:t>
      </w:r>
      <w:r w:rsidR="008D71C7">
        <w:rPr>
          <w:bCs/>
        </w:rPr>
        <w:t>,</w:t>
      </w:r>
      <w:r w:rsidRPr="00FD3058">
        <w:rPr>
          <w:bCs/>
        </w:rPr>
        <w:t xml:space="preserve"> seria possível supor que estariam asseguradas as condições jurídicas para pavimentação de uma ilimitada possibilidade de desenvolvimento dos indivíduos. Lamentavelmente, sabemos que, ao ser confrontad</w:t>
      </w:r>
      <w:r w:rsidR="008D71C7">
        <w:rPr>
          <w:bCs/>
        </w:rPr>
        <w:t>o</w:t>
      </w:r>
      <w:r w:rsidRPr="00FD3058">
        <w:rPr>
          <w:bCs/>
        </w:rPr>
        <w:t xml:space="preserve"> com a realidade, es</w:t>
      </w:r>
      <w:r w:rsidR="008D71C7">
        <w:rPr>
          <w:bCs/>
        </w:rPr>
        <w:t>s</w:t>
      </w:r>
      <w:r w:rsidRPr="00FD3058">
        <w:rPr>
          <w:bCs/>
        </w:rPr>
        <w:t xml:space="preserve">e nobre princípio </w:t>
      </w:r>
      <w:r w:rsidR="00187BA7">
        <w:rPr>
          <w:bCs/>
        </w:rPr>
        <w:t>d</w:t>
      </w:r>
      <w:r w:rsidRPr="00FD3058">
        <w:rPr>
          <w:bCs/>
        </w:rPr>
        <w:t>e igualdade jurídica não se sustenta. Indisfarçavelmente, segmentos sociais encontram-se em situação de extrema vulnerabilidade, em razão de uma desigualdade histórica que sedimentou toda uma série de problemas estruturais. Dentre os segmentos mais duramente afetados</w:t>
      </w:r>
      <w:r w:rsidR="00DA7138">
        <w:rPr>
          <w:bCs/>
        </w:rPr>
        <w:t>,</w:t>
      </w:r>
      <w:r w:rsidRPr="00FD3058">
        <w:rPr>
          <w:bCs/>
        </w:rPr>
        <w:t xml:space="preserve"> encontra-se a população LGBTQIA+. </w:t>
      </w:r>
      <w:r w:rsidR="00DA7138">
        <w:rPr>
          <w:bCs/>
        </w:rPr>
        <w:t>Por essa r</w:t>
      </w:r>
      <w:r w:rsidRPr="00FD3058">
        <w:rPr>
          <w:bCs/>
        </w:rPr>
        <w:t>azão</w:t>
      </w:r>
      <w:r w:rsidR="00DA7138">
        <w:rPr>
          <w:bCs/>
        </w:rPr>
        <w:t>,</w:t>
      </w:r>
      <w:r w:rsidRPr="00FD3058">
        <w:rPr>
          <w:bCs/>
        </w:rPr>
        <w:t xml:space="preserve"> foi construído o presente Projeto de Lei</w:t>
      </w:r>
      <w:r w:rsidR="00187BA7">
        <w:rPr>
          <w:bCs/>
        </w:rPr>
        <w:t>,</w:t>
      </w:r>
      <w:r w:rsidRPr="00FD3058">
        <w:rPr>
          <w:bCs/>
        </w:rPr>
        <w:t xml:space="preserve"> que prevê a criação da Política Municipal de Proteção à População LGBTQIA+.</w:t>
      </w:r>
    </w:p>
    <w:p w14:paraId="383F8BB3" w14:textId="77777777" w:rsidR="00FD3058" w:rsidRPr="00FD3058" w:rsidRDefault="00FD3058" w:rsidP="00FD3058">
      <w:pPr>
        <w:autoSpaceDE w:val="0"/>
        <w:ind w:firstLine="1418"/>
        <w:jc w:val="both"/>
        <w:rPr>
          <w:bCs/>
        </w:rPr>
      </w:pPr>
    </w:p>
    <w:p w14:paraId="78DF1649" w14:textId="422134F7" w:rsidR="00FD3058" w:rsidRPr="00FD3058" w:rsidRDefault="00FD3058" w:rsidP="00FD3058">
      <w:pPr>
        <w:autoSpaceDE w:val="0"/>
        <w:ind w:firstLine="1418"/>
        <w:jc w:val="both"/>
        <w:rPr>
          <w:bCs/>
        </w:rPr>
      </w:pPr>
      <w:r w:rsidRPr="00FD3058">
        <w:rPr>
          <w:bCs/>
        </w:rPr>
        <w:t>Do ponto de vista da representatividade populacional</w:t>
      </w:r>
      <w:r w:rsidR="00DA7138">
        <w:rPr>
          <w:bCs/>
        </w:rPr>
        <w:t>,</w:t>
      </w:r>
      <w:r w:rsidRPr="00FD3058">
        <w:rPr>
          <w:bCs/>
        </w:rPr>
        <w:t xml:space="preserve"> é necessário que se diga que, conforme indicado na primeira, e até então única, pesquisa do Instituto Brasileiro de Geografia e Estatística (IBGE) produzida em 2019</w:t>
      </w:r>
      <w:r w:rsidR="009C7164">
        <w:rPr>
          <w:bCs/>
        </w:rPr>
        <w:t>,</w:t>
      </w:r>
      <w:r w:rsidRPr="00FD3058">
        <w:rPr>
          <w:bCs/>
        </w:rPr>
        <w:t xml:space="preserve"> a qual considerou o recorte de identidade de gênero e sexualidade</w:t>
      </w:r>
      <w:r w:rsidR="009C7164">
        <w:rPr>
          <w:bCs/>
        </w:rPr>
        <w:t>,</w:t>
      </w:r>
      <w:r w:rsidRPr="00FD3058">
        <w:rPr>
          <w:bCs/>
        </w:rPr>
        <w:t xml:space="preserve"> existem no Brasil 2,9 milhões de pessoas com 18 </w:t>
      </w:r>
      <w:r w:rsidR="009C7164">
        <w:rPr>
          <w:bCs/>
        </w:rPr>
        <w:t xml:space="preserve">anos </w:t>
      </w:r>
      <w:r w:rsidRPr="00FD3058">
        <w:rPr>
          <w:bCs/>
        </w:rPr>
        <w:t>ou mais que se declaram LGBTQIA+. Contudo, ainda conforme a referida pesquisa</w:t>
      </w:r>
      <w:r w:rsidR="009C7164">
        <w:rPr>
          <w:bCs/>
        </w:rPr>
        <w:t>,</w:t>
      </w:r>
      <w:r w:rsidRPr="00FD3058">
        <w:rPr>
          <w:bCs/>
        </w:rPr>
        <w:t xml:space="preserve"> outras 3,6 milhões de pessoas não quiseram responder.</w:t>
      </w:r>
    </w:p>
    <w:p w14:paraId="2166DA91" w14:textId="77777777" w:rsidR="00FD3058" w:rsidRPr="00FD3058" w:rsidRDefault="00FD3058" w:rsidP="00FD3058">
      <w:pPr>
        <w:autoSpaceDE w:val="0"/>
        <w:ind w:firstLine="1418"/>
        <w:jc w:val="both"/>
        <w:rPr>
          <w:bCs/>
        </w:rPr>
      </w:pPr>
    </w:p>
    <w:p w14:paraId="01DBC3D2" w14:textId="1D3EFE54" w:rsidR="00FD3058" w:rsidRPr="00FD3058" w:rsidRDefault="00FD3058" w:rsidP="00FD3058">
      <w:pPr>
        <w:autoSpaceDE w:val="0"/>
        <w:ind w:firstLine="1418"/>
        <w:jc w:val="both"/>
        <w:rPr>
          <w:bCs/>
        </w:rPr>
      </w:pPr>
      <w:r w:rsidRPr="00FD3058">
        <w:rPr>
          <w:bCs/>
        </w:rPr>
        <w:t>Se nos mantivermos atento</w:t>
      </w:r>
      <w:r w:rsidR="009C7164">
        <w:rPr>
          <w:bCs/>
        </w:rPr>
        <w:t>s</w:t>
      </w:r>
      <w:r w:rsidRPr="00FD3058">
        <w:rPr>
          <w:bCs/>
        </w:rPr>
        <w:t xml:space="preserve"> aos dados que regularmente são produzidos por diversos institutos de pesquisa teremos uma percepção mais aprimorada da gravidade da situação que atinge a população LGBTQIA+. Perceberemos, ainda</w:t>
      </w:r>
      <w:r w:rsidR="009C7164">
        <w:rPr>
          <w:bCs/>
        </w:rPr>
        <w:t>,</w:t>
      </w:r>
      <w:r w:rsidRPr="00FD3058">
        <w:rPr>
          <w:bCs/>
        </w:rPr>
        <w:t xml:space="preserve"> que os impactos da LGBT</w:t>
      </w:r>
      <w:r w:rsidR="007139A0" w:rsidRPr="00FD3058">
        <w:rPr>
          <w:bCs/>
        </w:rPr>
        <w:t>fobia</w:t>
      </w:r>
      <w:r w:rsidRPr="00FD3058">
        <w:rPr>
          <w:bCs/>
        </w:rPr>
        <w:t xml:space="preserve"> são multifacetados e estruturais. Ou seja, o preconceito</w:t>
      </w:r>
      <w:r w:rsidR="009C7164">
        <w:rPr>
          <w:bCs/>
        </w:rPr>
        <w:t>,</w:t>
      </w:r>
      <w:r w:rsidRPr="00FD3058">
        <w:rPr>
          <w:bCs/>
        </w:rPr>
        <w:t xml:space="preserve"> ao se apresentar enraizado na estrutura da sociedade, de formas e intensidade distintas, pode ser identificado nas agressões em forma de “piadas”, na hostilização verbal ou física, mas também no campo da saúde, na educação, na segurança, no mundo do trabalho.</w:t>
      </w:r>
    </w:p>
    <w:p w14:paraId="66F40C47" w14:textId="77777777" w:rsidR="00FD3058" w:rsidRPr="00FD3058" w:rsidRDefault="00FD3058" w:rsidP="00FD3058">
      <w:pPr>
        <w:autoSpaceDE w:val="0"/>
        <w:ind w:firstLine="1418"/>
        <w:jc w:val="both"/>
        <w:rPr>
          <w:bCs/>
        </w:rPr>
      </w:pPr>
    </w:p>
    <w:p w14:paraId="3B87FA74" w14:textId="57F46973" w:rsidR="00FD3058" w:rsidRPr="00FD3058" w:rsidRDefault="00FD3058" w:rsidP="00FD3058">
      <w:pPr>
        <w:autoSpaceDE w:val="0"/>
        <w:ind w:firstLine="1418"/>
        <w:jc w:val="both"/>
        <w:rPr>
          <w:bCs/>
        </w:rPr>
      </w:pPr>
      <w:r w:rsidRPr="00FD3058">
        <w:rPr>
          <w:bCs/>
        </w:rPr>
        <w:t xml:space="preserve">Quando se utiliza aqui a afirmação de que se trata de algo estrutural se está querendo dizer que tal problema reverbera, de formas distintas, em todos os processos de socialização da pessoa LGBTQIA+. Está na constituição da sociedade que garantindo a reprodução de uma relação de dominação a qual, dentre outras características, é histórica e essencialmente heteronormativa. Não é por acaso que o preconceito é a chave explicativa para entender o motivo do alto número de pessoas LGBTQIA+ que tentam ou cometem suicídio. Isto se aplica ao Brasil </w:t>
      </w:r>
      <w:r w:rsidR="009C7164">
        <w:rPr>
          <w:bCs/>
        </w:rPr>
        <w:t xml:space="preserve">e </w:t>
      </w:r>
      <w:r w:rsidRPr="00FD3058">
        <w:rPr>
          <w:bCs/>
        </w:rPr>
        <w:t>a diversos outros países do mundo.</w:t>
      </w:r>
    </w:p>
    <w:p w14:paraId="6AA00BE1" w14:textId="77777777" w:rsidR="00FD3058" w:rsidRPr="00FD3058" w:rsidRDefault="00FD3058" w:rsidP="00FD3058">
      <w:pPr>
        <w:autoSpaceDE w:val="0"/>
        <w:ind w:firstLine="1418"/>
        <w:jc w:val="both"/>
        <w:rPr>
          <w:bCs/>
        </w:rPr>
      </w:pPr>
    </w:p>
    <w:p w14:paraId="18F4AB7B" w14:textId="49C6BC4F" w:rsidR="00FD3058" w:rsidRPr="00FD3058" w:rsidRDefault="00FD3058" w:rsidP="00FD3058">
      <w:pPr>
        <w:autoSpaceDE w:val="0"/>
        <w:ind w:firstLine="1418"/>
        <w:jc w:val="both"/>
        <w:rPr>
          <w:bCs/>
        </w:rPr>
      </w:pPr>
      <w:r w:rsidRPr="00FD3058">
        <w:rPr>
          <w:bCs/>
        </w:rPr>
        <w:t>O Brasil carrega a trágica marca de ser um dos países do mundo que mais mata pessoas LGBTQIA+. Somente no ano de 2022 foram mais de 250 assassinatos motivados pela LGBT</w:t>
      </w:r>
      <w:r w:rsidR="007139A0" w:rsidRPr="00FD3058">
        <w:rPr>
          <w:bCs/>
        </w:rPr>
        <w:t>fobia</w:t>
      </w:r>
      <w:r w:rsidRPr="00FD3058">
        <w:rPr>
          <w:bCs/>
        </w:rPr>
        <w:t xml:space="preserve"> (Dossiê de Mortes e violências contra LGBTI no Brasil, 2022; Grupo Gay Bahia, 2022). O impacto das mortes violentas contra essa população pode ser visto também quando comparamos a expectativa de vida de uma pessoa LGBTQIA+, que é de 35 anos, com a média nacional que é de 74,9 (Dossiê de Mortes e violências contra LGBTI no Brasil, 2022).</w:t>
      </w:r>
    </w:p>
    <w:p w14:paraId="7D634102" w14:textId="77777777" w:rsidR="00FD3058" w:rsidRPr="00FD3058" w:rsidRDefault="00FD3058" w:rsidP="00FD3058">
      <w:pPr>
        <w:autoSpaceDE w:val="0"/>
        <w:ind w:firstLine="1418"/>
        <w:jc w:val="both"/>
        <w:rPr>
          <w:bCs/>
        </w:rPr>
      </w:pPr>
    </w:p>
    <w:p w14:paraId="63C1D3D3" w14:textId="5C8F5E99" w:rsidR="00FD3058" w:rsidRPr="00FD3058" w:rsidRDefault="00FD3058" w:rsidP="00FD3058">
      <w:pPr>
        <w:autoSpaceDE w:val="0"/>
        <w:ind w:firstLine="1418"/>
        <w:jc w:val="both"/>
        <w:rPr>
          <w:bCs/>
        </w:rPr>
      </w:pPr>
      <w:r w:rsidRPr="00FD3058">
        <w:rPr>
          <w:bCs/>
        </w:rPr>
        <w:t>Ao se considerar o perfil socioeconômico des</w:t>
      </w:r>
      <w:r w:rsidR="007139A0">
        <w:rPr>
          <w:bCs/>
        </w:rPr>
        <w:t>s</w:t>
      </w:r>
      <w:r w:rsidRPr="00FD3058">
        <w:rPr>
          <w:bCs/>
        </w:rPr>
        <w:t xml:space="preserve">as pessoas assassinadas no ano de 2022 identificamos que aproximadamente 70% eram profissionais do sexo (Dossiê 2022 de Mortes </w:t>
      </w:r>
      <w:r w:rsidRPr="00FD3058">
        <w:rPr>
          <w:bCs/>
        </w:rPr>
        <w:lastRenderedPageBreak/>
        <w:t>e violências contra LGBTI no Brasil). Ao acessarmos a série histórica das pesquisas produzidas com e</w:t>
      </w:r>
      <w:r w:rsidR="007139A0">
        <w:rPr>
          <w:bCs/>
        </w:rPr>
        <w:t>ss</w:t>
      </w:r>
      <w:r w:rsidRPr="00FD3058">
        <w:rPr>
          <w:bCs/>
        </w:rPr>
        <w:t>e recorte de identidade de gênero e sexualidade</w:t>
      </w:r>
      <w:r w:rsidR="00A64013">
        <w:rPr>
          <w:bCs/>
        </w:rPr>
        <w:t>,</w:t>
      </w:r>
      <w:r w:rsidRPr="00FD3058">
        <w:rPr>
          <w:bCs/>
        </w:rPr>
        <w:t xml:space="preserve"> iremos nos deparar com um rico banco de dados que indica trágica persistência de</w:t>
      </w:r>
      <w:r w:rsidR="007139A0">
        <w:rPr>
          <w:bCs/>
        </w:rPr>
        <w:t>ss</w:t>
      </w:r>
      <w:r w:rsidRPr="00FD3058">
        <w:rPr>
          <w:bCs/>
        </w:rPr>
        <w:t>es números ao longo dos anos. É sabido que a prostituição expõe sobremaneira as pessoas que ne</w:t>
      </w:r>
      <w:r w:rsidR="007139A0">
        <w:rPr>
          <w:bCs/>
        </w:rPr>
        <w:t>ss</w:t>
      </w:r>
      <w:r w:rsidRPr="00FD3058">
        <w:rPr>
          <w:bCs/>
        </w:rPr>
        <w:t>a atividade encontram sua subsistência. Mas tratar a dinâmica que leva pessoas LGBTQIA+ a se prostitu</w:t>
      </w:r>
      <w:r w:rsidR="008D71C7">
        <w:rPr>
          <w:bCs/>
        </w:rPr>
        <w:t>í</w:t>
      </w:r>
      <w:r w:rsidRPr="00FD3058">
        <w:rPr>
          <w:bCs/>
        </w:rPr>
        <w:t>rem como uma livre escolha é completamente superficial e nada contribui para ampliar a compreensão sobre a falta de outras alternativas de trabalho. Acerca disto, cabe considerar que aproximadamente 90% das mulheres trans e travestis são profissionais do sexo (ANTRA, 2021) justamente pelas diversas barreiras sociais presentes em uma sociedade heteronormativa.</w:t>
      </w:r>
    </w:p>
    <w:p w14:paraId="1DE82749" w14:textId="77777777" w:rsidR="00FD3058" w:rsidRPr="00FD3058" w:rsidRDefault="00FD3058" w:rsidP="00FD3058">
      <w:pPr>
        <w:autoSpaceDE w:val="0"/>
        <w:ind w:firstLine="1418"/>
        <w:jc w:val="both"/>
        <w:rPr>
          <w:bCs/>
        </w:rPr>
      </w:pPr>
    </w:p>
    <w:p w14:paraId="6E37E8FE" w14:textId="726882AE" w:rsidR="00FD3058" w:rsidRPr="00FD3058" w:rsidRDefault="00FD3058" w:rsidP="00FD3058">
      <w:pPr>
        <w:autoSpaceDE w:val="0"/>
        <w:ind w:firstLine="1418"/>
        <w:jc w:val="both"/>
        <w:rPr>
          <w:bCs/>
        </w:rPr>
      </w:pPr>
      <w:r w:rsidRPr="00FD3058">
        <w:rPr>
          <w:bCs/>
        </w:rPr>
        <w:t>O problema da evasão escolar tangencia a questão da falta de alternativas de emprego e renda que enfrenta a população LGBTQIA+. Na verdade, trata-se de um processo de expulsão daqueles que são considerados diferentes e de reprovável convívio. Nesse sentido vale considerar que, conforme o que constatou a Pesquisa Educacional sobre o Ambiente Escolar no Brasil, de 2016, 73% dos estudantes LGBTQIA+ afirmaram terem sofrido agressões físicas e verbais dentro da instituição de educação. E de 2018 para cá 92,4% da população LGBTQIA+ afirma que aumentou a violência contra essa comunidade (Dados e Números – Fundação Ford, 2019).</w:t>
      </w:r>
    </w:p>
    <w:p w14:paraId="71F2516E" w14:textId="77777777" w:rsidR="00FD3058" w:rsidRPr="00FD3058" w:rsidRDefault="00FD3058" w:rsidP="00FD3058">
      <w:pPr>
        <w:autoSpaceDE w:val="0"/>
        <w:ind w:firstLine="1418"/>
        <w:jc w:val="both"/>
        <w:rPr>
          <w:bCs/>
        </w:rPr>
      </w:pPr>
    </w:p>
    <w:p w14:paraId="782ADE38" w14:textId="77777777" w:rsidR="00FD3058" w:rsidRPr="00FD3058" w:rsidRDefault="00FD3058" w:rsidP="00FD3058">
      <w:pPr>
        <w:autoSpaceDE w:val="0"/>
        <w:ind w:firstLine="1418"/>
        <w:jc w:val="both"/>
        <w:rPr>
          <w:bCs/>
        </w:rPr>
      </w:pPr>
      <w:r w:rsidRPr="00FD3058">
        <w:rPr>
          <w:bCs/>
        </w:rPr>
        <w:t>Sem uma ampla mobilização da sociedade civil e da sociedade política a LGBTFOBIA continuará produzindo vítimas. As principais vítimas são, indiscutivelmente, as pessoas não binárias, os gays, as mulheres trans e travestis, as lésbicas, enfim, todos que fazem parte desse segmento. Porém, os efeitos dessa violência atingem toda a sociedade, ao passo que a omissão diante das violências perpetradas pela LGBTFOBIA representa a corrosão da empatia, da alteridade, da solidariedade. Com isso, estamos diante de um ataque aos princípios mais básicos de civilidade.</w:t>
      </w:r>
    </w:p>
    <w:p w14:paraId="1F9C14E3" w14:textId="77777777" w:rsidR="00FD3058" w:rsidRPr="00FD3058" w:rsidRDefault="00FD3058" w:rsidP="00FD3058">
      <w:pPr>
        <w:autoSpaceDE w:val="0"/>
        <w:ind w:firstLine="1418"/>
        <w:jc w:val="both"/>
        <w:rPr>
          <w:bCs/>
        </w:rPr>
      </w:pPr>
    </w:p>
    <w:p w14:paraId="41DA1CC2" w14:textId="438C1824" w:rsidR="00FD3058" w:rsidRPr="00FD3058" w:rsidRDefault="00FD3058" w:rsidP="00FD3058">
      <w:pPr>
        <w:autoSpaceDE w:val="0"/>
        <w:ind w:firstLine="1418"/>
        <w:jc w:val="both"/>
        <w:rPr>
          <w:bCs/>
        </w:rPr>
      </w:pPr>
      <w:r w:rsidRPr="00FD3058">
        <w:rPr>
          <w:bCs/>
        </w:rPr>
        <w:t>Apesar de Porto Alegre não se notabilizar por assassinatos e outros crimes violentos contra a população LGBTQIA+</w:t>
      </w:r>
      <w:r w:rsidR="00D75DEE">
        <w:rPr>
          <w:bCs/>
        </w:rPr>
        <w:t>,</w:t>
      </w:r>
      <w:r w:rsidRPr="00FD3058">
        <w:rPr>
          <w:bCs/>
        </w:rPr>
        <w:t xml:space="preserve"> é preciso considerar que toda uma gama de preconceitos vulnerabilizam gravemente essa população, que</w:t>
      </w:r>
      <w:r w:rsidR="00D75DEE">
        <w:rPr>
          <w:bCs/>
        </w:rPr>
        <w:t>,</w:t>
      </w:r>
      <w:r w:rsidRPr="00FD3058">
        <w:rPr>
          <w:bCs/>
        </w:rPr>
        <w:t xml:space="preserve"> seja em situação de rua ou não, são cotidianamente vítimas de violências. Algo digno de destaque é que a ausência de dados mais precisos sobre esse segmento é notadamente um indicativo do descaso com esse segmento invisibilizado, inclusive nos levantamentos demográficos.</w:t>
      </w:r>
    </w:p>
    <w:p w14:paraId="678E2593" w14:textId="77777777" w:rsidR="00FD3058" w:rsidRPr="00FD3058" w:rsidRDefault="00FD3058" w:rsidP="00FD3058">
      <w:pPr>
        <w:autoSpaceDE w:val="0"/>
        <w:ind w:firstLine="1418"/>
        <w:jc w:val="both"/>
        <w:rPr>
          <w:bCs/>
        </w:rPr>
      </w:pPr>
    </w:p>
    <w:p w14:paraId="53447635" w14:textId="3FD81C5E" w:rsidR="00FD3058" w:rsidRPr="00FD3058" w:rsidRDefault="007139A0" w:rsidP="00FD3058">
      <w:pPr>
        <w:autoSpaceDE w:val="0"/>
        <w:ind w:firstLine="1418"/>
        <w:jc w:val="both"/>
        <w:rPr>
          <w:bCs/>
        </w:rPr>
      </w:pPr>
      <w:r>
        <w:rPr>
          <w:bCs/>
        </w:rPr>
        <w:t>Ess</w:t>
      </w:r>
      <w:r w:rsidR="00FD3058" w:rsidRPr="00FD3058">
        <w:rPr>
          <w:bCs/>
        </w:rPr>
        <w:t xml:space="preserve">e Projeto surge do reconhecimento da existência de uma lacuna, no que tange o abandono da população LGBTQIA+ por parte do poder público acompanhada da histórica violação dos direitos mais elementares. Algo que atormenta historicamente essa população. Nesse sentido o Projeto visa tanto ampliar o conjunto de medidas, que permanecem aquém dos reais desafios enfrentados pela população LGBTQIA+ quanto contribuir na articulação sistematizada de ações protetivas e emancipadoras garantidas a partir da segurança proveniente da forma de </w:t>
      </w:r>
      <w:r w:rsidR="005355C3">
        <w:rPr>
          <w:bCs/>
        </w:rPr>
        <w:t>l</w:t>
      </w:r>
      <w:r w:rsidR="00FD3058" w:rsidRPr="00FD3058">
        <w:rPr>
          <w:bCs/>
        </w:rPr>
        <w:t>ei.</w:t>
      </w:r>
    </w:p>
    <w:p w14:paraId="0477A81F" w14:textId="77777777" w:rsidR="00FD3058" w:rsidRPr="00FD3058" w:rsidRDefault="00FD3058" w:rsidP="00FD3058">
      <w:pPr>
        <w:autoSpaceDE w:val="0"/>
        <w:ind w:firstLine="1418"/>
        <w:jc w:val="both"/>
        <w:rPr>
          <w:bCs/>
        </w:rPr>
      </w:pPr>
    </w:p>
    <w:p w14:paraId="7D797112" w14:textId="77777777" w:rsidR="00FD3058" w:rsidRPr="00FD3058" w:rsidRDefault="00FD3058" w:rsidP="00FD3058">
      <w:pPr>
        <w:autoSpaceDE w:val="0"/>
        <w:ind w:firstLine="1418"/>
        <w:jc w:val="both"/>
        <w:rPr>
          <w:bCs/>
        </w:rPr>
      </w:pPr>
      <w:r w:rsidRPr="00FD3058">
        <w:rPr>
          <w:bCs/>
        </w:rPr>
        <w:t>Em seu Artigo 5º, ao prever que a execução da Política Pública Municipal de Proteção à População LGBTQIA+ estará a cargo da Secretaria Municipal de Desenvolvimento Social salienta as diretrizes da ação do PL. Observa-se aqui que suporte para elaborar e articular ações, bem como colaborar e assessorar do ponto de vista técnico na implementação de medidas que visem o fortalecimento da rede de proteção à população LGBTQIA+, dar-se-á dentro dos marcos da responsabilidade fiscal.</w:t>
      </w:r>
    </w:p>
    <w:p w14:paraId="36F3A824" w14:textId="77777777" w:rsidR="00FD3058" w:rsidRPr="00FD3058" w:rsidRDefault="00FD3058" w:rsidP="00FD3058">
      <w:pPr>
        <w:autoSpaceDE w:val="0"/>
        <w:ind w:firstLine="1418"/>
        <w:jc w:val="both"/>
        <w:rPr>
          <w:bCs/>
        </w:rPr>
      </w:pPr>
    </w:p>
    <w:p w14:paraId="3C86366F" w14:textId="4E2F442A" w:rsidR="00FD3058" w:rsidRPr="00FD3058" w:rsidRDefault="00FD3058" w:rsidP="00FD3058">
      <w:pPr>
        <w:autoSpaceDE w:val="0"/>
        <w:ind w:firstLine="1418"/>
        <w:jc w:val="both"/>
        <w:rPr>
          <w:bCs/>
        </w:rPr>
      </w:pPr>
      <w:r w:rsidRPr="00FD3058">
        <w:rPr>
          <w:bCs/>
        </w:rPr>
        <w:lastRenderedPageBreak/>
        <w:t>O aperfeiçoamento do marco normativo de proteção à população LGBTQIA+, bem como a ampliação da rede de proteção e atendimento voltad</w:t>
      </w:r>
      <w:r w:rsidR="005355C3">
        <w:rPr>
          <w:bCs/>
        </w:rPr>
        <w:t>a</w:t>
      </w:r>
      <w:r w:rsidRPr="00FD3058">
        <w:rPr>
          <w:bCs/>
        </w:rPr>
        <w:t xml:space="preserve"> </w:t>
      </w:r>
      <w:r w:rsidR="005355C3">
        <w:rPr>
          <w:bCs/>
        </w:rPr>
        <w:t>a</w:t>
      </w:r>
      <w:r w:rsidRPr="00FD3058">
        <w:rPr>
          <w:bCs/>
        </w:rPr>
        <w:t xml:space="preserve"> essa população é de extrema </w:t>
      </w:r>
      <w:r w:rsidR="005355C3">
        <w:rPr>
          <w:bCs/>
        </w:rPr>
        <w:t>relevância</w:t>
      </w:r>
      <w:r w:rsidRPr="00FD3058">
        <w:rPr>
          <w:bCs/>
        </w:rPr>
        <w:t xml:space="preserve">, em vista do preocupante cenário de preconceito e violências estruturais, próprias da LGBTFOBIA. Ao prever uma maior cooperação e atuação de órgãos e entidades a fim de implementar políticas públicas voltadas </w:t>
      </w:r>
      <w:r w:rsidR="005355C3">
        <w:rPr>
          <w:bCs/>
        </w:rPr>
        <w:t>a</w:t>
      </w:r>
      <w:r w:rsidRPr="00FD3058">
        <w:rPr>
          <w:bCs/>
        </w:rPr>
        <w:t xml:space="preserve"> </w:t>
      </w:r>
      <w:r w:rsidR="007139A0">
        <w:rPr>
          <w:bCs/>
        </w:rPr>
        <w:t>ess</w:t>
      </w:r>
      <w:r w:rsidRPr="00FD3058">
        <w:rPr>
          <w:bCs/>
        </w:rPr>
        <w:t xml:space="preserve">a população, o presente Projeto vai ao encontro da percepção de que </w:t>
      </w:r>
      <w:r w:rsidR="007139A0">
        <w:rPr>
          <w:bCs/>
        </w:rPr>
        <w:t>ess</w:t>
      </w:r>
      <w:r w:rsidRPr="00FD3058">
        <w:rPr>
          <w:bCs/>
        </w:rPr>
        <w:t>a pauta é transversal e suprapartidária. É nesse sentido que todos os parlamentares se encontram desafiados a atuar no sentido de garantir os direitos dos segmentos sociais mais vulnerabilizados.</w:t>
      </w:r>
    </w:p>
    <w:p w14:paraId="03E31380" w14:textId="77777777" w:rsidR="00FD3058" w:rsidRPr="00FD3058" w:rsidRDefault="00FD3058" w:rsidP="00FD3058">
      <w:pPr>
        <w:autoSpaceDE w:val="0"/>
        <w:ind w:firstLine="1418"/>
        <w:jc w:val="both"/>
        <w:rPr>
          <w:bCs/>
        </w:rPr>
      </w:pPr>
    </w:p>
    <w:p w14:paraId="396FBA71" w14:textId="2DF02403" w:rsidR="00FD3058" w:rsidRPr="00FD3058" w:rsidRDefault="00FD3058" w:rsidP="00FD3058">
      <w:pPr>
        <w:autoSpaceDE w:val="0"/>
        <w:ind w:firstLine="1418"/>
        <w:jc w:val="both"/>
        <w:rPr>
          <w:bCs/>
        </w:rPr>
      </w:pPr>
      <w:r w:rsidRPr="00FD3058">
        <w:rPr>
          <w:bCs/>
        </w:rPr>
        <w:t xml:space="preserve">Em consonância com as ações de acolhimento e proteção da população LGBTQIA+ se fazem relevantes iniciativas como </w:t>
      </w:r>
      <w:r w:rsidR="007139A0">
        <w:rPr>
          <w:bCs/>
        </w:rPr>
        <w:t>ess</w:t>
      </w:r>
      <w:r w:rsidRPr="00FD3058">
        <w:rPr>
          <w:bCs/>
        </w:rPr>
        <w:t>a apresentada n</w:t>
      </w:r>
      <w:r w:rsidR="005355C3">
        <w:rPr>
          <w:bCs/>
        </w:rPr>
        <w:t>o</w:t>
      </w:r>
      <w:r w:rsidRPr="00FD3058">
        <w:rPr>
          <w:bCs/>
        </w:rPr>
        <w:t xml:space="preserve"> PL Política Municipal de Proteção à População LGBTQIA+. Ações que envolvem o atendimento, a defesa, a prevenção e a promoção de direitos (eixos norteadores d</w:t>
      </w:r>
      <w:r w:rsidR="007139A0">
        <w:rPr>
          <w:bCs/>
        </w:rPr>
        <w:t>ess</w:t>
      </w:r>
      <w:r w:rsidR="005355C3">
        <w:rPr>
          <w:bCs/>
        </w:rPr>
        <w:t>e</w:t>
      </w:r>
      <w:r w:rsidRPr="00FD3058">
        <w:rPr>
          <w:bCs/>
        </w:rPr>
        <w:t xml:space="preserve"> PL) do já referido segmento social contemplam os objetivos de aperfeiçoar o marco normativo de proteção, e para isso ampliar a discussão e a cooperação dos órgãos e entidades que compactuam com a causa LGBTQIA+. Portanto, o poder público, ao assumir o princípio da isonomia, está cumprindo o seu papel estratégico de ser capaz de identificar quais segmentos estão em maior vulnerabilidade e tratar igualmente os iguais e desigualmente os desiguais, na exata medida de suas desigualdades. Na prática, o presente Projeto corrobora com o conjunto de ações e estratégias de combate aos crimes e violações de direitos que envolvem a população LGBTQIA+.</w:t>
      </w:r>
    </w:p>
    <w:p w14:paraId="0E504996" w14:textId="77777777" w:rsidR="00FD3058" w:rsidRPr="00FD3058" w:rsidRDefault="00FD3058" w:rsidP="00FD3058">
      <w:pPr>
        <w:autoSpaceDE w:val="0"/>
        <w:ind w:firstLine="1418"/>
        <w:jc w:val="both"/>
        <w:rPr>
          <w:bCs/>
        </w:rPr>
      </w:pPr>
    </w:p>
    <w:p w14:paraId="3923AC60" w14:textId="67FC48E2" w:rsidR="00FD3058" w:rsidRPr="00FD3058" w:rsidRDefault="00FD3058" w:rsidP="00FD3058">
      <w:pPr>
        <w:autoSpaceDE w:val="0"/>
        <w:ind w:firstLine="1418"/>
        <w:jc w:val="both"/>
        <w:rPr>
          <w:bCs/>
        </w:rPr>
      </w:pPr>
      <w:r w:rsidRPr="00FD3058">
        <w:rPr>
          <w:bCs/>
        </w:rPr>
        <w:t>Com base em tudo que foi aqui exposto, todos os parlamentares estão convidados a refletirem sobre o tema do presente Projeto e, ao votarem favoráveis ao mesmo, terem condições de contribuírem para minimizar o sofrimento que acomete cotidianamente a população LGBTQIA+. Portanto, a aprovação d</w:t>
      </w:r>
      <w:r w:rsidR="007139A0">
        <w:rPr>
          <w:bCs/>
        </w:rPr>
        <w:t>ess</w:t>
      </w:r>
      <w:r w:rsidRPr="00FD3058">
        <w:rPr>
          <w:bCs/>
        </w:rPr>
        <w:t xml:space="preserve">e Projeto de Lei representa mais um passo em direção </w:t>
      </w:r>
      <w:r w:rsidR="005355C3">
        <w:rPr>
          <w:bCs/>
        </w:rPr>
        <w:t>à</w:t>
      </w:r>
      <w:r w:rsidR="005355C3" w:rsidRPr="00FD3058">
        <w:rPr>
          <w:bCs/>
        </w:rPr>
        <w:t xml:space="preserve"> </w:t>
      </w:r>
      <w:r w:rsidRPr="00FD3058">
        <w:rPr>
          <w:bCs/>
        </w:rPr>
        <w:t>construção de uma sociedade na qual todas as vidas são igualmente importantes, independentemente da etnia, da orientação sexual ou da condição financeira.</w:t>
      </w:r>
    </w:p>
    <w:p w14:paraId="2898B126" w14:textId="77777777" w:rsidR="00FD3058" w:rsidRPr="00FD3058" w:rsidRDefault="00FD3058" w:rsidP="00FD3058">
      <w:pPr>
        <w:autoSpaceDE w:val="0"/>
        <w:ind w:firstLine="1418"/>
        <w:jc w:val="both"/>
        <w:rPr>
          <w:bCs/>
        </w:rPr>
      </w:pPr>
    </w:p>
    <w:p w14:paraId="166D0651" w14:textId="503FC088" w:rsidR="00303CE4" w:rsidRDefault="00FD3058" w:rsidP="00FD3058">
      <w:pPr>
        <w:autoSpaceDE w:val="0"/>
        <w:ind w:firstLine="1418"/>
        <w:jc w:val="both"/>
        <w:rPr>
          <w:bCs/>
        </w:rPr>
      </w:pPr>
      <w:r w:rsidRPr="00FD3058">
        <w:rPr>
          <w:bCs/>
        </w:rPr>
        <w:t>N</w:t>
      </w:r>
      <w:r w:rsidR="007139A0">
        <w:rPr>
          <w:bCs/>
        </w:rPr>
        <w:t>ess</w:t>
      </w:r>
      <w:r w:rsidRPr="00FD3058">
        <w:rPr>
          <w:bCs/>
        </w:rPr>
        <w:t xml:space="preserve">a senda, peço o apoio dos meus pares para a aprovação do presente </w:t>
      </w:r>
      <w:r w:rsidR="005355C3">
        <w:rPr>
          <w:bCs/>
        </w:rPr>
        <w:t>P</w:t>
      </w:r>
      <w:r w:rsidR="005355C3" w:rsidRPr="00FD3058">
        <w:rPr>
          <w:bCs/>
        </w:rPr>
        <w:t xml:space="preserve">rojeto </w:t>
      </w:r>
      <w:r w:rsidRPr="00FD3058">
        <w:rPr>
          <w:bCs/>
        </w:rPr>
        <w:t xml:space="preserve">de </w:t>
      </w:r>
      <w:r w:rsidR="005355C3">
        <w:rPr>
          <w:bCs/>
        </w:rPr>
        <w:t>L</w:t>
      </w:r>
      <w:r w:rsidR="005355C3" w:rsidRPr="00FD3058">
        <w:rPr>
          <w:bCs/>
        </w:rPr>
        <w:t>ei</w:t>
      </w:r>
      <w:r w:rsidR="005355C3">
        <w:rPr>
          <w:bCs/>
        </w:rPr>
        <w:t>.</w:t>
      </w:r>
    </w:p>
    <w:p w14:paraId="78DA05FF" w14:textId="77777777" w:rsidR="00545B6B" w:rsidRDefault="00545B6B" w:rsidP="00545B6B">
      <w:pPr>
        <w:autoSpaceDE w:val="0"/>
        <w:ind w:firstLine="1418"/>
        <w:jc w:val="both"/>
        <w:rPr>
          <w:bCs/>
        </w:rPr>
      </w:pPr>
    </w:p>
    <w:p w14:paraId="3CBA754A" w14:textId="57012644" w:rsidR="008B6BF2" w:rsidRDefault="00225E66" w:rsidP="00B2202F">
      <w:pPr>
        <w:autoSpaceDE w:val="0"/>
        <w:ind w:firstLine="1418"/>
        <w:jc w:val="both"/>
      </w:pPr>
      <w:r>
        <w:t xml:space="preserve">Sala das Sessões, </w:t>
      </w:r>
      <w:r w:rsidR="0039311E">
        <w:t>2</w:t>
      </w:r>
      <w:r w:rsidR="00FD3058">
        <w:t>8</w:t>
      </w:r>
      <w:r w:rsidR="00B26B97">
        <w:t xml:space="preserve"> de</w:t>
      </w:r>
      <w:r w:rsidR="008B6BF2">
        <w:t xml:space="preserve"> </w:t>
      </w:r>
      <w:r w:rsidR="00FD3058">
        <w:t xml:space="preserve">junho </w:t>
      </w:r>
      <w:r w:rsidR="008B6BF2">
        <w:t>de 202</w:t>
      </w:r>
      <w:r w:rsidR="00B26B97">
        <w:t>3</w:t>
      </w:r>
      <w:r w:rsidR="008B6BF2">
        <w:t>.</w:t>
      </w:r>
    </w:p>
    <w:p w14:paraId="1F524CDE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6637405D" w:rsidR="008B6BF2" w:rsidRDefault="008B6BF2">
      <w:pPr>
        <w:autoSpaceDE w:val="0"/>
        <w:jc w:val="center"/>
      </w:pPr>
      <w:r>
        <w:t>VEREADOR</w:t>
      </w:r>
      <w:r w:rsidR="0039311E">
        <w:t xml:space="preserve"> </w:t>
      </w:r>
      <w:r w:rsidR="00FD3058">
        <w:t>DANI MORETHSON</w:t>
      </w:r>
    </w:p>
    <w:p w14:paraId="624C58FF" w14:textId="6489A587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1CAB719B" w14:textId="457A848C" w:rsidR="009224F7" w:rsidRPr="00912602" w:rsidRDefault="00FD3058" w:rsidP="00A86A25">
      <w:pPr>
        <w:autoSpaceDE w:val="0"/>
        <w:ind w:left="4253"/>
        <w:jc w:val="both"/>
        <w:rPr>
          <w:b/>
          <w:bCs/>
        </w:rPr>
      </w:pPr>
      <w:r>
        <w:rPr>
          <w:b/>
          <w:bCs/>
        </w:rPr>
        <w:t>Cria a Política Municipal de Proteção à População LGBTQIA+</w:t>
      </w:r>
      <w:r w:rsidR="0039311E" w:rsidRPr="0039311E">
        <w:rPr>
          <w:b/>
          <w:bCs/>
        </w:rPr>
        <w:t>.</w:t>
      </w:r>
    </w:p>
    <w:p w14:paraId="783209C5" w14:textId="77777777" w:rsidR="009224F7" w:rsidRPr="009224F7" w:rsidRDefault="009224F7" w:rsidP="009224F7">
      <w:pPr>
        <w:autoSpaceDE w:val="0"/>
        <w:ind w:left="4253"/>
        <w:jc w:val="both"/>
        <w:rPr>
          <w:b/>
          <w:bCs/>
        </w:rPr>
      </w:pPr>
      <w:r w:rsidRPr="009224F7">
        <w:rPr>
          <w:b/>
          <w:bCs/>
        </w:rPr>
        <w:t> </w:t>
      </w:r>
    </w:p>
    <w:p w14:paraId="154249E5" w14:textId="77777777" w:rsidR="00DC24C2" w:rsidRPr="00DC24C2" w:rsidRDefault="00DC24C2" w:rsidP="006233A8">
      <w:pPr>
        <w:autoSpaceDE w:val="0"/>
        <w:ind w:left="4253"/>
        <w:jc w:val="both"/>
        <w:rPr>
          <w:b/>
          <w:bCs/>
        </w:rPr>
      </w:pPr>
      <w:r w:rsidRPr="00DC24C2">
        <w:rPr>
          <w:b/>
          <w:bCs/>
        </w:rPr>
        <w:t> </w:t>
      </w:r>
    </w:p>
    <w:p w14:paraId="54E8F325" w14:textId="3A985074" w:rsidR="00FD3058" w:rsidRDefault="00DC24C2" w:rsidP="00FD3058">
      <w:pPr>
        <w:autoSpaceDE w:val="0"/>
        <w:ind w:firstLine="1418"/>
        <w:jc w:val="both"/>
      </w:pPr>
      <w:r w:rsidRPr="00DC24C2">
        <w:rPr>
          <w:b/>
          <w:bCs/>
        </w:rPr>
        <w:t>Art.</w:t>
      </w:r>
      <w:r w:rsidR="009224F7">
        <w:rPr>
          <w:b/>
          <w:bCs/>
        </w:rPr>
        <w:t xml:space="preserve"> 1</w:t>
      </w:r>
      <w:proofErr w:type="gramStart"/>
      <w:r w:rsidR="009224F7">
        <w:rPr>
          <w:b/>
          <w:bCs/>
        </w:rPr>
        <w:t>º</w:t>
      </w:r>
      <w:r w:rsidR="009224F7" w:rsidRPr="009224F7">
        <w:rPr>
          <w:b/>
          <w:bCs/>
        </w:rPr>
        <w:t xml:space="preserve"> </w:t>
      </w:r>
      <w:r w:rsidR="009224F7">
        <w:rPr>
          <w:b/>
          <w:bCs/>
        </w:rPr>
        <w:t xml:space="preserve"> </w:t>
      </w:r>
      <w:r w:rsidR="00FD3058">
        <w:t>Fica</w:t>
      </w:r>
      <w:proofErr w:type="gramEnd"/>
      <w:r w:rsidR="00FD3058">
        <w:t xml:space="preserve"> criada Política Municipal de Proteção à População LGBTQIA+.</w:t>
      </w:r>
    </w:p>
    <w:p w14:paraId="07C4AADC" w14:textId="77777777" w:rsidR="00FD3058" w:rsidRDefault="00FD3058" w:rsidP="00FD3058">
      <w:pPr>
        <w:autoSpaceDE w:val="0"/>
        <w:ind w:firstLine="1418"/>
        <w:jc w:val="both"/>
      </w:pPr>
    </w:p>
    <w:p w14:paraId="444AE527" w14:textId="26521829" w:rsidR="00FD3058" w:rsidRDefault="005355C3" w:rsidP="00FD3058">
      <w:pPr>
        <w:autoSpaceDE w:val="0"/>
        <w:ind w:firstLine="1418"/>
        <w:jc w:val="both"/>
      </w:pPr>
      <w:r>
        <w:rPr>
          <w:b/>
          <w:bCs/>
        </w:rPr>
        <w:t>Parágrafo único.</w:t>
      </w:r>
      <w:r w:rsidR="00FD3058">
        <w:t xml:space="preserve"> </w:t>
      </w:r>
      <w:r w:rsidR="006D4973">
        <w:t xml:space="preserve"> </w:t>
      </w:r>
      <w:r>
        <w:t>Para os efeitos desta Lei, c</w:t>
      </w:r>
      <w:r w:rsidR="00FD3058">
        <w:t xml:space="preserve">onsidera-se LGBTQIA+ a pessoa que se identifica como lésbica, gay, bissexual, travesti, transexual, intersexual, assexual </w:t>
      </w:r>
      <w:r w:rsidR="00E939DA">
        <w:t xml:space="preserve">ou </w:t>
      </w:r>
      <w:r w:rsidR="00FD3058">
        <w:t xml:space="preserve">outras </w:t>
      </w:r>
      <w:r w:rsidR="00E939DA">
        <w:t xml:space="preserve">identidades de gênero não </w:t>
      </w:r>
      <w:proofErr w:type="spellStart"/>
      <w:r w:rsidR="00E939DA">
        <w:t>cisgêneras</w:t>
      </w:r>
      <w:proofErr w:type="spellEnd"/>
      <w:r w:rsidR="00E939DA">
        <w:t xml:space="preserve"> ou </w:t>
      </w:r>
      <w:r w:rsidR="00FD3058">
        <w:t xml:space="preserve">orientações sexuais </w:t>
      </w:r>
      <w:r w:rsidR="00E939DA">
        <w:t>não heterossexuais</w:t>
      </w:r>
      <w:r w:rsidR="00FD3058">
        <w:t>.</w:t>
      </w:r>
    </w:p>
    <w:p w14:paraId="0845F179" w14:textId="77777777" w:rsidR="00FD3058" w:rsidRDefault="00FD3058" w:rsidP="00FD3058">
      <w:pPr>
        <w:autoSpaceDE w:val="0"/>
        <w:ind w:firstLine="1418"/>
        <w:jc w:val="both"/>
      </w:pPr>
    </w:p>
    <w:p w14:paraId="4812B1EC" w14:textId="28061CFB" w:rsidR="00FD3058" w:rsidRDefault="00FD3058" w:rsidP="00FD3058">
      <w:pPr>
        <w:autoSpaceDE w:val="0"/>
        <w:ind w:firstLine="1418"/>
        <w:jc w:val="both"/>
      </w:pPr>
      <w:r w:rsidRPr="006D4973">
        <w:rPr>
          <w:b/>
          <w:bCs/>
        </w:rPr>
        <w:t xml:space="preserve">Art. </w:t>
      </w:r>
      <w:r w:rsidR="002F2186">
        <w:rPr>
          <w:b/>
          <w:bCs/>
        </w:rPr>
        <w:t>2</w:t>
      </w:r>
      <w:proofErr w:type="gramStart"/>
      <w:r w:rsidRPr="006D4973">
        <w:rPr>
          <w:b/>
          <w:bCs/>
        </w:rPr>
        <w:t>º</w:t>
      </w:r>
      <w:r>
        <w:t xml:space="preserve"> </w:t>
      </w:r>
      <w:r w:rsidR="006D4973">
        <w:t xml:space="preserve"> </w:t>
      </w:r>
      <w:r w:rsidR="002F2186">
        <w:t>São</w:t>
      </w:r>
      <w:proofErr w:type="gramEnd"/>
      <w:r w:rsidR="002F2186">
        <w:t xml:space="preserve"> </w:t>
      </w:r>
      <w:r>
        <w:t xml:space="preserve">objetivos da Política </w:t>
      </w:r>
      <w:r w:rsidR="002F2186">
        <w:t>criada por esta Lei</w:t>
      </w:r>
      <w:r>
        <w:t>:</w:t>
      </w:r>
    </w:p>
    <w:p w14:paraId="0AA5BB8D" w14:textId="77777777" w:rsidR="00FD3058" w:rsidRDefault="00FD3058" w:rsidP="00FD3058">
      <w:pPr>
        <w:autoSpaceDE w:val="0"/>
        <w:ind w:firstLine="1418"/>
        <w:jc w:val="both"/>
      </w:pPr>
    </w:p>
    <w:p w14:paraId="1318C7AC" w14:textId="0D9299CF" w:rsidR="00FD3058" w:rsidRDefault="00FD3058" w:rsidP="00FD3058">
      <w:pPr>
        <w:autoSpaceDE w:val="0"/>
        <w:ind w:firstLine="1418"/>
        <w:jc w:val="both"/>
      </w:pPr>
      <w:r>
        <w:t xml:space="preserve">I – </w:t>
      </w:r>
      <w:proofErr w:type="gramStart"/>
      <w:r>
        <w:t>aperfeiçoar</w:t>
      </w:r>
      <w:proofErr w:type="gramEnd"/>
      <w:r>
        <w:t xml:space="preserve"> o marco normativo de proteção à população LGBTQIA+;</w:t>
      </w:r>
    </w:p>
    <w:p w14:paraId="38B0D4D8" w14:textId="77777777" w:rsidR="00FD3058" w:rsidRDefault="00FD3058" w:rsidP="00FD3058">
      <w:pPr>
        <w:autoSpaceDE w:val="0"/>
        <w:ind w:firstLine="1418"/>
        <w:jc w:val="both"/>
      </w:pPr>
    </w:p>
    <w:p w14:paraId="2575AF78" w14:textId="732985F1" w:rsidR="00FD3058" w:rsidRDefault="00FD3058" w:rsidP="00FD3058">
      <w:pPr>
        <w:autoSpaceDE w:val="0"/>
        <w:ind w:firstLine="1418"/>
        <w:jc w:val="both"/>
      </w:pPr>
      <w:r>
        <w:t xml:space="preserve">II </w:t>
      </w:r>
      <w:r w:rsidR="006D4973">
        <w:t>–</w:t>
      </w:r>
      <w:r>
        <w:t xml:space="preserve"> </w:t>
      </w:r>
      <w:proofErr w:type="gramStart"/>
      <w:r>
        <w:t>ampliar</w:t>
      </w:r>
      <w:proofErr w:type="gramEnd"/>
      <w:r w:rsidR="006D4973">
        <w:t xml:space="preserve"> </w:t>
      </w:r>
      <w:r>
        <w:t>a discussão sobre a rede de proteção e de atendimento à população LGBTQIA+; e</w:t>
      </w:r>
    </w:p>
    <w:p w14:paraId="2ED94FB5" w14:textId="77777777" w:rsidR="00FD3058" w:rsidRDefault="00FD3058" w:rsidP="00FD3058">
      <w:pPr>
        <w:autoSpaceDE w:val="0"/>
        <w:ind w:firstLine="1418"/>
        <w:jc w:val="both"/>
      </w:pPr>
    </w:p>
    <w:p w14:paraId="21209ADB" w14:textId="1433FD82" w:rsidR="00FD3058" w:rsidRDefault="00FD3058" w:rsidP="00FD3058">
      <w:pPr>
        <w:autoSpaceDE w:val="0"/>
        <w:ind w:firstLine="1418"/>
        <w:jc w:val="both"/>
      </w:pPr>
      <w:r>
        <w:t xml:space="preserve">III </w:t>
      </w:r>
      <w:r w:rsidR="006D4973">
        <w:t>–</w:t>
      </w:r>
      <w:r>
        <w:t xml:space="preserve"> buscar</w:t>
      </w:r>
      <w:r w:rsidR="006D4973">
        <w:t xml:space="preserve"> </w:t>
      </w:r>
      <w:r>
        <w:t>maior cooperação e atuação conjunta entre órgãos e entidades a fim de implementar políticas públicas destinadas à população LGBTQIA+.</w:t>
      </w:r>
    </w:p>
    <w:p w14:paraId="7AE19A8C" w14:textId="77777777" w:rsidR="00FD3058" w:rsidRDefault="00FD3058" w:rsidP="00FD3058">
      <w:pPr>
        <w:autoSpaceDE w:val="0"/>
        <w:ind w:firstLine="1418"/>
        <w:jc w:val="both"/>
      </w:pPr>
    </w:p>
    <w:p w14:paraId="054B16E4" w14:textId="39AE91C7" w:rsidR="00FD3058" w:rsidRDefault="00FD3058" w:rsidP="00FD3058">
      <w:pPr>
        <w:autoSpaceDE w:val="0"/>
        <w:ind w:firstLine="1418"/>
        <w:jc w:val="both"/>
      </w:pPr>
      <w:r w:rsidRPr="006D4973">
        <w:rPr>
          <w:b/>
          <w:bCs/>
        </w:rPr>
        <w:t xml:space="preserve">Art. </w:t>
      </w:r>
      <w:r w:rsidR="001727FB">
        <w:rPr>
          <w:b/>
          <w:bCs/>
        </w:rPr>
        <w:t>3</w:t>
      </w:r>
      <w:proofErr w:type="gramStart"/>
      <w:r w:rsidRPr="006D4973">
        <w:rPr>
          <w:b/>
          <w:bCs/>
        </w:rPr>
        <w:t>º</w:t>
      </w:r>
      <w:r>
        <w:t xml:space="preserve"> </w:t>
      </w:r>
      <w:r w:rsidR="006D4973">
        <w:t xml:space="preserve"> </w:t>
      </w:r>
      <w:r w:rsidR="001727FB">
        <w:t>São</w:t>
      </w:r>
      <w:proofErr w:type="gramEnd"/>
      <w:r>
        <w:t xml:space="preserve"> eixos </w:t>
      </w:r>
      <w:r w:rsidR="001727FB">
        <w:t xml:space="preserve">de atuação </w:t>
      </w:r>
      <w:r>
        <w:t xml:space="preserve">da Política </w:t>
      </w:r>
      <w:r w:rsidR="001727FB">
        <w:t>criada por esta Lei</w:t>
      </w:r>
      <w:r>
        <w:t>:</w:t>
      </w:r>
    </w:p>
    <w:p w14:paraId="2CB9E11A" w14:textId="77777777" w:rsidR="00FD3058" w:rsidRDefault="00FD3058" w:rsidP="00FD3058">
      <w:pPr>
        <w:autoSpaceDE w:val="0"/>
        <w:ind w:firstLine="1418"/>
        <w:jc w:val="both"/>
      </w:pPr>
    </w:p>
    <w:p w14:paraId="7949862C" w14:textId="69E82893" w:rsidR="00FD3058" w:rsidRDefault="00FD3058" w:rsidP="00FD3058">
      <w:pPr>
        <w:autoSpaceDE w:val="0"/>
        <w:ind w:firstLine="1418"/>
        <w:jc w:val="both"/>
      </w:pPr>
      <w:r>
        <w:t xml:space="preserve">I </w:t>
      </w:r>
      <w:r w:rsidR="006D4973">
        <w:t>–</w:t>
      </w:r>
      <w:r>
        <w:t xml:space="preserve"> </w:t>
      </w:r>
      <w:proofErr w:type="gramStart"/>
      <w:r>
        <w:t>atendimento</w:t>
      </w:r>
      <w:proofErr w:type="gramEnd"/>
      <w:r>
        <w:t>;</w:t>
      </w:r>
    </w:p>
    <w:p w14:paraId="14AD43DE" w14:textId="77777777" w:rsidR="00FD3058" w:rsidRDefault="00FD3058" w:rsidP="00FD3058">
      <w:pPr>
        <w:autoSpaceDE w:val="0"/>
        <w:ind w:firstLine="1418"/>
        <w:jc w:val="both"/>
      </w:pPr>
    </w:p>
    <w:p w14:paraId="4FB76440" w14:textId="574514DF" w:rsidR="00FD3058" w:rsidRDefault="00FD3058" w:rsidP="00FD3058">
      <w:pPr>
        <w:autoSpaceDE w:val="0"/>
        <w:ind w:firstLine="1418"/>
        <w:jc w:val="both"/>
      </w:pPr>
      <w:r>
        <w:t xml:space="preserve">II </w:t>
      </w:r>
      <w:r w:rsidR="006D4973">
        <w:t>–</w:t>
      </w:r>
      <w:r>
        <w:t xml:space="preserve"> institucionalização</w:t>
      </w:r>
      <w:r w:rsidR="006D4973">
        <w:t xml:space="preserve"> </w:t>
      </w:r>
      <w:r>
        <w:t>e normatização;</w:t>
      </w:r>
    </w:p>
    <w:p w14:paraId="498DD785" w14:textId="77777777" w:rsidR="00FD3058" w:rsidRDefault="00FD3058" w:rsidP="00FD3058">
      <w:pPr>
        <w:autoSpaceDE w:val="0"/>
        <w:ind w:firstLine="1418"/>
        <w:jc w:val="both"/>
      </w:pPr>
    </w:p>
    <w:p w14:paraId="39361EEE" w14:textId="3A4D3A0C" w:rsidR="00FD3058" w:rsidRDefault="00FD3058" w:rsidP="00FD3058">
      <w:pPr>
        <w:autoSpaceDE w:val="0"/>
        <w:ind w:firstLine="1418"/>
        <w:jc w:val="both"/>
      </w:pPr>
      <w:r>
        <w:t xml:space="preserve">III </w:t>
      </w:r>
      <w:r w:rsidR="006D4973">
        <w:t>–</w:t>
      </w:r>
      <w:r>
        <w:t xml:space="preserve"> defesa</w:t>
      </w:r>
      <w:r w:rsidR="006D4973">
        <w:t xml:space="preserve"> </w:t>
      </w:r>
      <w:r>
        <w:t>e responsabilização;</w:t>
      </w:r>
    </w:p>
    <w:p w14:paraId="6C4D6C3F" w14:textId="77777777" w:rsidR="00FD3058" w:rsidRDefault="00FD3058" w:rsidP="00FD3058">
      <w:pPr>
        <w:autoSpaceDE w:val="0"/>
        <w:ind w:firstLine="1418"/>
        <w:jc w:val="both"/>
      </w:pPr>
    </w:p>
    <w:p w14:paraId="7DF39C73" w14:textId="53BF1D66" w:rsidR="00FD3058" w:rsidRDefault="00FD3058" w:rsidP="00FD3058">
      <w:pPr>
        <w:autoSpaceDE w:val="0"/>
        <w:ind w:firstLine="1418"/>
        <w:jc w:val="both"/>
      </w:pPr>
      <w:r>
        <w:t xml:space="preserve">IV </w:t>
      </w:r>
      <w:r w:rsidR="006D4973">
        <w:t>–</w:t>
      </w:r>
      <w:r>
        <w:t xml:space="preserve"> </w:t>
      </w:r>
      <w:proofErr w:type="gramStart"/>
      <w:r>
        <w:t>promoção</w:t>
      </w:r>
      <w:proofErr w:type="gramEnd"/>
      <w:r w:rsidR="006D4973">
        <w:t xml:space="preserve"> </w:t>
      </w:r>
      <w:r>
        <w:t>de direitos; e</w:t>
      </w:r>
    </w:p>
    <w:p w14:paraId="05C5D208" w14:textId="77777777" w:rsidR="00FD3058" w:rsidRDefault="00FD3058" w:rsidP="00FD3058">
      <w:pPr>
        <w:autoSpaceDE w:val="0"/>
        <w:ind w:firstLine="1418"/>
        <w:jc w:val="both"/>
      </w:pPr>
    </w:p>
    <w:p w14:paraId="1E5CE3E0" w14:textId="1F76C1E5" w:rsidR="00FD3058" w:rsidRDefault="00FD3058" w:rsidP="00FD3058">
      <w:pPr>
        <w:autoSpaceDE w:val="0"/>
        <w:ind w:firstLine="1418"/>
        <w:jc w:val="both"/>
      </w:pPr>
      <w:r>
        <w:t xml:space="preserve">V </w:t>
      </w:r>
      <w:r w:rsidR="006D4973">
        <w:t>–</w:t>
      </w:r>
      <w:r>
        <w:t xml:space="preserve"> </w:t>
      </w:r>
      <w:proofErr w:type="gramStart"/>
      <w:r>
        <w:t>prevenção</w:t>
      </w:r>
      <w:proofErr w:type="gramEnd"/>
      <w:r w:rsidR="006D4973">
        <w:t>.</w:t>
      </w:r>
    </w:p>
    <w:p w14:paraId="6C9ED0E7" w14:textId="77777777" w:rsidR="00FD3058" w:rsidRDefault="00FD3058" w:rsidP="00FD3058">
      <w:pPr>
        <w:autoSpaceDE w:val="0"/>
        <w:ind w:firstLine="1418"/>
        <w:jc w:val="both"/>
      </w:pPr>
    </w:p>
    <w:p w14:paraId="237E1FB5" w14:textId="43FC5013" w:rsidR="00FD3058" w:rsidRDefault="00FD3058" w:rsidP="00FD3058">
      <w:pPr>
        <w:autoSpaceDE w:val="0"/>
        <w:ind w:firstLine="1418"/>
        <w:jc w:val="both"/>
      </w:pPr>
      <w:r w:rsidRPr="006D4973">
        <w:rPr>
          <w:b/>
          <w:bCs/>
        </w:rPr>
        <w:t xml:space="preserve">Art. </w:t>
      </w:r>
      <w:r w:rsidR="001727FB">
        <w:rPr>
          <w:b/>
          <w:bCs/>
        </w:rPr>
        <w:t>4</w:t>
      </w:r>
      <w:proofErr w:type="gramStart"/>
      <w:r w:rsidRPr="006D4973">
        <w:rPr>
          <w:b/>
          <w:bCs/>
        </w:rPr>
        <w:t>º</w:t>
      </w:r>
      <w:r>
        <w:t xml:space="preserve"> </w:t>
      </w:r>
      <w:r w:rsidR="006D4973">
        <w:t xml:space="preserve"> </w:t>
      </w:r>
      <w:r w:rsidR="00476C4E">
        <w:t>São</w:t>
      </w:r>
      <w:proofErr w:type="gramEnd"/>
      <w:r w:rsidR="00476C4E">
        <w:t xml:space="preserve"> </w:t>
      </w:r>
      <w:r>
        <w:t xml:space="preserve">fundamentos para a execução, </w:t>
      </w:r>
      <w:r w:rsidR="00476C4E">
        <w:t xml:space="preserve">o </w:t>
      </w:r>
      <w:r>
        <w:t xml:space="preserve">funcionamento e </w:t>
      </w:r>
      <w:r w:rsidR="00476C4E">
        <w:t xml:space="preserve">a </w:t>
      </w:r>
      <w:r>
        <w:t>organização</w:t>
      </w:r>
      <w:r w:rsidR="00476C4E">
        <w:t xml:space="preserve"> da Política criada por esta Lei</w:t>
      </w:r>
      <w:r>
        <w:t>:</w:t>
      </w:r>
    </w:p>
    <w:p w14:paraId="38933241" w14:textId="77777777" w:rsidR="00FD3058" w:rsidRDefault="00FD3058" w:rsidP="00FD3058">
      <w:pPr>
        <w:autoSpaceDE w:val="0"/>
        <w:ind w:firstLine="1418"/>
        <w:jc w:val="both"/>
      </w:pPr>
    </w:p>
    <w:p w14:paraId="4288EE97" w14:textId="1C4B8682" w:rsidR="00FD3058" w:rsidRDefault="00FD3058" w:rsidP="00FD3058">
      <w:pPr>
        <w:autoSpaceDE w:val="0"/>
        <w:ind w:firstLine="1418"/>
        <w:jc w:val="both"/>
      </w:pPr>
      <w:r>
        <w:t xml:space="preserve">I </w:t>
      </w:r>
      <w:r w:rsidR="006D4973">
        <w:t>–</w:t>
      </w:r>
      <w:r>
        <w:t xml:space="preserve"> </w:t>
      </w:r>
      <w:proofErr w:type="gramStart"/>
      <w:r>
        <w:t>articula</w:t>
      </w:r>
      <w:r w:rsidR="00476C4E">
        <w:t>ção</w:t>
      </w:r>
      <w:proofErr w:type="gramEnd"/>
      <w:r w:rsidR="006D4973">
        <w:t>,</w:t>
      </w:r>
      <w:r>
        <w:t xml:space="preserve"> em conjunto com cada instituição, </w:t>
      </w:r>
      <w:r w:rsidR="00476C4E">
        <w:t>d</w:t>
      </w:r>
      <w:r>
        <w:t xml:space="preserve">a participação e </w:t>
      </w:r>
      <w:r w:rsidR="00476C4E">
        <w:t>d</w:t>
      </w:r>
      <w:r>
        <w:t>as atribuições de cada órgão, entidade ou instituição, mediante a assinatura d</w:t>
      </w:r>
      <w:r w:rsidR="00634E2E">
        <w:t xml:space="preserve">e </w:t>
      </w:r>
      <w:r>
        <w:t>instrumento de adesão;</w:t>
      </w:r>
    </w:p>
    <w:p w14:paraId="1A35ECE0" w14:textId="77777777" w:rsidR="00FD3058" w:rsidRDefault="00FD3058" w:rsidP="00FD3058">
      <w:pPr>
        <w:autoSpaceDE w:val="0"/>
        <w:ind w:firstLine="1418"/>
        <w:jc w:val="both"/>
      </w:pPr>
    </w:p>
    <w:p w14:paraId="0FC804BD" w14:textId="1873EF96" w:rsidR="00FD3058" w:rsidRDefault="00FD3058" w:rsidP="00FD3058">
      <w:pPr>
        <w:autoSpaceDE w:val="0"/>
        <w:ind w:firstLine="1418"/>
        <w:jc w:val="both"/>
      </w:pPr>
      <w:r>
        <w:t xml:space="preserve">II </w:t>
      </w:r>
      <w:r w:rsidR="006D4973">
        <w:t>–</w:t>
      </w:r>
      <w:r>
        <w:t xml:space="preserve"> </w:t>
      </w:r>
      <w:proofErr w:type="gramStart"/>
      <w:r>
        <w:t>elabora</w:t>
      </w:r>
      <w:r w:rsidR="00476C4E">
        <w:t>ção</w:t>
      </w:r>
      <w:proofErr w:type="gramEnd"/>
      <w:r w:rsidR="00476C4E">
        <w:t xml:space="preserve"> de</w:t>
      </w:r>
      <w:r w:rsidR="006D4973">
        <w:t xml:space="preserve"> </w:t>
      </w:r>
      <w:r>
        <w:t>plano de trabalho, definindo iniciativas, metas e responsáveis;</w:t>
      </w:r>
    </w:p>
    <w:p w14:paraId="076A8634" w14:textId="77777777" w:rsidR="00FD3058" w:rsidRDefault="00FD3058" w:rsidP="00FD3058">
      <w:pPr>
        <w:autoSpaceDE w:val="0"/>
        <w:ind w:firstLine="1418"/>
        <w:jc w:val="both"/>
      </w:pPr>
    </w:p>
    <w:p w14:paraId="0C8466EF" w14:textId="7469DC9D" w:rsidR="00FD3058" w:rsidRDefault="00FD3058" w:rsidP="00FD3058">
      <w:pPr>
        <w:autoSpaceDE w:val="0"/>
        <w:ind w:firstLine="1418"/>
        <w:jc w:val="both"/>
      </w:pPr>
      <w:r>
        <w:t xml:space="preserve">III </w:t>
      </w:r>
      <w:r w:rsidR="006D4973">
        <w:t>–</w:t>
      </w:r>
      <w:r>
        <w:t xml:space="preserve"> receb</w:t>
      </w:r>
      <w:r w:rsidR="00476C4E">
        <w:t>imento de</w:t>
      </w:r>
      <w:r w:rsidR="006D4973">
        <w:t xml:space="preserve"> </w:t>
      </w:r>
      <w:r>
        <w:t>demandas d</w:t>
      </w:r>
      <w:r w:rsidR="00634E2E">
        <w:t>e</w:t>
      </w:r>
      <w:r>
        <w:t xml:space="preserve"> órgãos, entidades ou instituições integrantes e promo</w:t>
      </w:r>
      <w:r w:rsidR="00476C4E">
        <w:t>ção</w:t>
      </w:r>
      <w:r>
        <w:t xml:space="preserve"> </w:t>
      </w:r>
      <w:r w:rsidR="00476C4E">
        <w:t>d</w:t>
      </w:r>
      <w:r w:rsidR="00634E2E">
        <w:t xml:space="preserve">o </w:t>
      </w:r>
      <w:r>
        <w:t xml:space="preserve">diálogo </w:t>
      </w:r>
      <w:r w:rsidR="00634E2E">
        <w:t xml:space="preserve">entre </w:t>
      </w:r>
      <w:r>
        <w:t xml:space="preserve">os órgãos e as entidades da </w:t>
      </w:r>
      <w:r w:rsidR="00476C4E">
        <w:t xml:space="preserve">Administração Pública </w:t>
      </w:r>
      <w:r>
        <w:t>municipal;</w:t>
      </w:r>
    </w:p>
    <w:p w14:paraId="4E6D8CC1" w14:textId="77777777" w:rsidR="00FD3058" w:rsidRDefault="00FD3058" w:rsidP="00FD3058">
      <w:pPr>
        <w:autoSpaceDE w:val="0"/>
        <w:ind w:firstLine="1418"/>
        <w:jc w:val="both"/>
      </w:pPr>
    </w:p>
    <w:p w14:paraId="3605101A" w14:textId="1672F6F6" w:rsidR="00FD3058" w:rsidRDefault="00FD3058" w:rsidP="00FD3058">
      <w:pPr>
        <w:autoSpaceDE w:val="0"/>
        <w:ind w:firstLine="1418"/>
        <w:jc w:val="both"/>
      </w:pPr>
      <w:r>
        <w:lastRenderedPageBreak/>
        <w:t xml:space="preserve">IV </w:t>
      </w:r>
      <w:r w:rsidR="006D4973">
        <w:t>–</w:t>
      </w:r>
      <w:r>
        <w:t xml:space="preserve"> </w:t>
      </w:r>
      <w:proofErr w:type="gramStart"/>
      <w:r>
        <w:t>presta</w:t>
      </w:r>
      <w:r w:rsidR="002B0255">
        <w:t>ção</w:t>
      </w:r>
      <w:proofErr w:type="gramEnd"/>
      <w:r w:rsidR="002B0255">
        <w:t xml:space="preserve"> de</w:t>
      </w:r>
      <w:r w:rsidR="006D4973">
        <w:t xml:space="preserve"> </w:t>
      </w:r>
      <w:r>
        <w:t>assistência técnica para a implementação d</w:t>
      </w:r>
      <w:r w:rsidR="00634E2E">
        <w:t>e</w:t>
      </w:r>
      <w:r>
        <w:t xml:space="preserve"> acordo de metas preestabelecidas;</w:t>
      </w:r>
    </w:p>
    <w:p w14:paraId="7B477941" w14:textId="77777777" w:rsidR="00FD3058" w:rsidRDefault="00FD3058" w:rsidP="00FD3058">
      <w:pPr>
        <w:autoSpaceDE w:val="0"/>
        <w:ind w:firstLine="1418"/>
        <w:jc w:val="both"/>
      </w:pPr>
    </w:p>
    <w:p w14:paraId="620AF46A" w14:textId="62BFF702" w:rsidR="00FD3058" w:rsidRDefault="00FD3058" w:rsidP="00FD3058">
      <w:pPr>
        <w:autoSpaceDE w:val="0"/>
        <w:ind w:firstLine="1418"/>
        <w:jc w:val="both"/>
      </w:pPr>
      <w:r>
        <w:t xml:space="preserve">V </w:t>
      </w:r>
      <w:r w:rsidR="006D4973">
        <w:t>–</w:t>
      </w:r>
      <w:r>
        <w:t xml:space="preserve"> atua</w:t>
      </w:r>
      <w:r w:rsidR="002B0255">
        <w:t>ção</w:t>
      </w:r>
      <w:r w:rsidR="006D4973">
        <w:t xml:space="preserve"> </w:t>
      </w:r>
      <w:r>
        <w:t>e colabora</w:t>
      </w:r>
      <w:r w:rsidR="002B0255">
        <w:t>ção</w:t>
      </w:r>
      <w:r>
        <w:t xml:space="preserve"> com a execução dos objetivos no âmbito de suas competências;</w:t>
      </w:r>
    </w:p>
    <w:p w14:paraId="594F5FA2" w14:textId="77777777" w:rsidR="00FD3058" w:rsidRDefault="00FD3058" w:rsidP="00FD3058">
      <w:pPr>
        <w:autoSpaceDE w:val="0"/>
        <w:ind w:firstLine="1418"/>
        <w:jc w:val="both"/>
      </w:pPr>
    </w:p>
    <w:p w14:paraId="16E27678" w14:textId="7CAAA349" w:rsidR="00FD3058" w:rsidRDefault="00FD3058" w:rsidP="00FD3058">
      <w:pPr>
        <w:autoSpaceDE w:val="0"/>
        <w:ind w:firstLine="1418"/>
        <w:jc w:val="both"/>
      </w:pPr>
      <w:r>
        <w:t xml:space="preserve">VI </w:t>
      </w:r>
      <w:r w:rsidR="006D4973">
        <w:t>–</w:t>
      </w:r>
      <w:r>
        <w:t xml:space="preserve"> monitora</w:t>
      </w:r>
      <w:r w:rsidR="002B0255">
        <w:t>mento</w:t>
      </w:r>
      <w:r w:rsidR="006D4973">
        <w:t xml:space="preserve"> </w:t>
      </w:r>
      <w:r>
        <w:t>e avalia</w:t>
      </w:r>
      <w:r w:rsidR="002B0255">
        <w:t>ção</w:t>
      </w:r>
      <w:r>
        <w:t xml:space="preserve"> </w:t>
      </w:r>
      <w:r w:rsidR="002B0255">
        <w:t>d</w:t>
      </w:r>
      <w:r>
        <w:t>a implementação d</w:t>
      </w:r>
      <w:r w:rsidR="00634E2E">
        <w:t>e</w:t>
      </w:r>
      <w:r>
        <w:t xml:space="preserve"> medidas necessárias à consecução dos objet</w:t>
      </w:r>
      <w:r w:rsidR="009D5894">
        <w:t>iv</w:t>
      </w:r>
      <w:r>
        <w:t>os</w:t>
      </w:r>
      <w:r w:rsidR="006D4973">
        <w:t>;</w:t>
      </w:r>
    </w:p>
    <w:p w14:paraId="08E7A041" w14:textId="77777777" w:rsidR="00FD3058" w:rsidRDefault="00FD3058" w:rsidP="00FD3058">
      <w:pPr>
        <w:autoSpaceDE w:val="0"/>
        <w:ind w:firstLine="1418"/>
        <w:jc w:val="both"/>
      </w:pPr>
    </w:p>
    <w:p w14:paraId="530F40DC" w14:textId="50C7D194" w:rsidR="00FD3058" w:rsidRDefault="00FD3058" w:rsidP="00FD3058">
      <w:pPr>
        <w:autoSpaceDE w:val="0"/>
        <w:ind w:firstLine="1418"/>
        <w:jc w:val="both"/>
      </w:pPr>
      <w:r>
        <w:t xml:space="preserve">VII </w:t>
      </w:r>
      <w:r w:rsidR="006D4973">
        <w:t>–</w:t>
      </w:r>
      <w:r>
        <w:t xml:space="preserve"> </w:t>
      </w:r>
      <w:r w:rsidR="002B0255">
        <w:t xml:space="preserve">adoção </w:t>
      </w:r>
      <w:r>
        <w:t>e orienta</w:t>
      </w:r>
      <w:r w:rsidR="002B0255">
        <w:t>ção</w:t>
      </w:r>
      <w:r>
        <w:t xml:space="preserve"> </w:t>
      </w:r>
      <w:r w:rsidR="002B0255">
        <w:t>d</w:t>
      </w:r>
      <w:r>
        <w:t>os signatários quanto aos documentos padr</w:t>
      </w:r>
      <w:r w:rsidR="007A78CD">
        <w:t>ão</w:t>
      </w:r>
      <w:r>
        <w:t xml:space="preserve"> termo de adesão ao pacto contendo acordo de metas e guia prático de execução e atingimento das metas acordadas;</w:t>
      </w:r>
    </w:p>
    <w:p w14:paraId="0B3816DC" w14:textId="77777777" w:rsidR="00FD3058" w:rsidRDefault="00FD3058" w:rsidP="00FD3058">
      <w:pPr>
        <w:autoSpaceDE w:val="0"/>
        <w:ind w:firstLine="1418"/>
        <w:jc w:val="both"/>
      </w:pPr>
    </w:p>
    <w:p w14:paraId="04243A34" w14:textId="7954F49B" w:rsidR="00FD3058" w:rsidRDefault="00FD3058" w:rsidP="00FD3058">
      <w:pPr>
        <w:autoSpaceDE w:val="0"/>
        <w:ind w:firstLine="1418"/>
        <w:jc w:val="both"/>
      </w:pPr>
      <w:r>
        <w:t xml:space="preserve">VIII </w:t>
      </w:r>
      <w:r w:rsidR="006D4973">
        <w:t>–</w:t>
      </w:r>
      <w:r>
        <w:t xml:space="preserve"> ado</w:t>
      </w:r>
      <w:r w:rsidR="002B0255">
        <w:t>ção</w:t>
      </w:r>
      <w:r w:rsidR="006D4973">
        <w:t xml:space="preserve"> </w:t>
      </w:r>
      <w:r w:rsidR="002B0255">
        <w:t xml:space="preserve">de </w:t>
      </w:r>
      <w:r>
        <w:t xml:space="preserve">medidas e ações que visem ao fortalecimento da </w:t>
      </w:r>
      <w:r w:rsidR="00634E2E">
        <w:t>p</w:t>
      </w:r>
      <w:r>
        <w:t xml:space="preserve">roteção </w:t>
      </w:r>
      <w:r w:rsidR="00634E2E">
        <w:t>a pessoas</w:t>
      </w:r>
      <w:r>
        <w:t xml:space="preserve"> LGBTQIA+</w:t>
      </w:r>
      <w:r w:rsidR="006D4973">
        <w:t>; e</w:t>
      </w:r>
    </w:p>
    <w:p w14:paraId="7CD98FFD" w14:textId="77777777" w:rsidR="00FD3058" w:rsidRDefault="00FD3058" w:rsidP="00FD3058">
      <w:pPr>
        <w:autoSpaceDE w:val="0"/>
        <w:ind w:firstLine="1418"/>
        <w:jc w:val="both"/>
      </w:pPr>
    </w:p>
    <w:p w14:paraId="2D2EBA43" w14:textId="3FD46A92" w:rsidR="0039311E" w:rsidRDefault="00FD3058" w:rsidP="00FD3058">
      <w:pPr>
        <w:autoSpaceDE w:val="0"/>
        <w:ind w:firstLine="1418"/>
        <w:jc w:val="both"/>
      </w:pPr>
      <w:r>
        <w:t xml:space="preserve">IX </w:t>
      </w:r>
      <w:r w:rsidR="006D4973">
        <w:t>–</w:t>
      </w:r>
      <w:r>
        <w:t xml:space="preserve"> </w:t>
      </w:r>
      <w:proofErr w:type="gramStart"/>
      <w:r>
        <w:t>respeit</w:t>
      </w:r>
      <w:r w:rsidR="002B0255">
        <w:t>o</w:t>
      </w:r>
      <w:proofErr w:type="gramEnd"/>
      <w:r w:rsidR="006D4973">
        <w:t xml:space="preserve"> </w:t>
      </w:r>
      <w:r w:rsidR="002B0255">
        <w:t>à</w:t>
      </w:r>
      <w:r>
        <w:t xml:space="preserve"> autonomia, </w:t>
      </w:r>
      <w:r w:rsidR="002B0255">
        <w:t>à</w:t>
      </w:r>
      <w:r>
        <w:t xml:space="preserve">s particularidades regionais e </w:t>
      </w:r>
      <w:r w:rsidR="002B0255">
        <w:t>a</w:t>
      </w:r>
      <w:r>
        <w:t>o rol de atribuições de cada um dos pactuantes</w:t>
      </w:r>
      <w:r w:rsidR="006D4973">
        <w:t>.</w:t>
      </w:r>
    </w:p>
    <w:p w14:paraId="74AC6458" w14:textId="77777777" w:rsidR="0039311E" w:rsidRDefault="0039311E" w:rsidP="0039311E">
      <w:pPr>
        <w:autoSpaceDE w:val="0"/>
        <w:ind w:firstLine="1418"/>
        <w:jc w:val="both"/>
      </w:pPr>
    </w:p>
    <w:p w14:paraId="125B0591" w14:textId="53093BD4" w:rsidR="008B6BF2" w:rsidRDefault="005E256C" w:rsidP="00C86095">
      <w:pPr>
        <w:autoSpaceDE w:val="0"/>
        <w:ind w:firstLine="1418"/>
        <w:jc w:val="both"/>
      </w:pPr>
      <w:r w:rsidRPr="00466C62">
        <w:rPr>
          <w:b/>
          <w:bCs/>
        </w:rPr>
        <w:t xml:space="preserve">Art. </w:t>
      </w:r>
      <w:r w:rsidR="00634E2E">
        <w:rPr>
          <w:b/>
          <w:bCs/>
        </w:rPr>
        <w:t>5</w:t>
      </w:r>
      <w:proofErr w:type="gramStart"/>
      <w:r w:rsidRPr="00466C62">
        <w:rPr>
          <w:b/>
          <w:bCs/>
        </w:rPr>
        <w:t>º</w:t>
      </w:r>
      <w:r>
        <w:t xml:space="preserve">  Esta</w:t>
      </w:r>
      <w:proofErr w:type="gramEnd"/>
      <w:r>
        <w:t xml:space="preserve"> Lei entra em vigor na data de sua publicação.</w:t>
      </w:r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B5D0B" w14:textId="77777777" w:rsidR="003E1453" w:rsidRDefault="003E1453">
      <w:r>
        <w:separator/>
      </w:r>
    </w:p>
  </w:endnote>
  <w:endnote w:type="continuationSeparator" w:id="0">
    <w:p w14:paraId="64C11F20" w14:textId="77777777" w:rsidR="003E1453" w:rsidRDefault="003E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D257A" w14:textId="77777777" w:rsidR="003E1453" w:rsidRDefault="003E1453">
      <w:r>
        <w:separator/>
      </w:r>
    </w:p>
  </w:footnote>
  <w:footnote w:type="continuationSeparator" w:id="0">
    <w:p w14:paraId="7CE24BEB" w14:textId="77777777" w:rsidR="003E1453" w:rsidRDefault="003E1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3074B796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FD3058">
      <w:rPr>
        <w:b/>
        <w:bCs/>
      </w:rPr>
      <w:t>0646</w:t>
    </w:r>
    <w:r>
      <w:rPr>
        <w:b/>
        <w:bCs/>
      </w:rPr>
      <w:t>/2</w:t>
    </w:r>
    <w:r w:rsidR="00AB6DDF">
      <w:rPr>
        <w:b/>
        <w:bCs/>
      </w:rPr>
      <w:t>3</w:t>
    </w:r>
  </w:p>
  <w:p w14:paraId="5FC7BBF2" w14:textId="75BE1AB2" w:rsidR="008B6BF2" w:rsidRDefault="008B6BF2">
    <w:pPr>
      <w:pStyle w:val="Cabealho"/>
      <w:jc w:val="right"/>
    </w:pPr>
    <w:r>
      <w:rPr>
        <w:b/>
        <w:bCs/>
      </w:rPr>
      <w:t>PLL</w:t>
    </w:r>
    <w:r w:rsidR="00373264">
      <w:rPr>
        <w:b/>
        <w:bCs/>
      </w:rPr>
      <w:t xml:space="preserve"> </w:t>
    </w:r>
    <w:r w:rsidR="002A77EF">
      <w:rPr>
        <w:b/>
        <w:bCs/>
      </w:rPr>
      <w:t xml:space="preserve">  </w:t>
    </w:r>
    <w:r>
      <w:rPr>
        <w:b/>
        <w:bCs/>
      </w:rPr>
      <w:t xml:space="preserve">  Nº     </w:t>
    </w:r>
    <w:r w:rsidR="00FD3058">
      <w:rPr>
        <w:b/>
        <w:bCs/>
      </w:rPr>
      <w:t>367</w:t>
    </w:r>
    <w:r>
      <w:rPr>
        <w:b/>
        <w:bCs/>
      </w:rPr>
      <w:t>/2</w:t>
    </w:r>
    <w:r w:rsidR="00AB6DDF">
      <w:rPr>
        <w:b/>
        <w:bCs/>
      </w:rPr>
      <w:t>3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6618"/>
    <w:rsid w:val="00021F15"/>
    <w:rsid w:val="00034465"/>
    <w:rsid w:val="0004721C"/>
    <w:rsid w:val="00047E1D"/>
    <w:rsid w:val="00054001"/>
    <w:rsid w:val="00054833"/>
    <w:rsid w:val="00065DEB"/>
    <w:rsid w:val="00090194"/>
    <w:rsid w:val="00093F2B"/>
    <w:rsid w:val="00094748"/>
    <w:rsid w:val="00097F32"/>
    <w:rsid w:val="000A04A9"/>
    <w:rsid w:val="000C561D"/>
    <w:rsid w:val="000D063D"/>
    <w:rsid w:val="000D13EE"/>
    <w:rsid w:val="000E0038"/>
    <w:rsid w:val="000E2EDD"/>
    <w:rsid w:val="000F1033"/>
    <w:rsid w:val="00123051"/>
    <w:rsid w:val="00145FAB"/>
    <w:rsid w:val="00150981"/>
    <w:rsid w:val="0016779A"/>
    <w:rsid w:val="001727FB"/>
    <w:rsid w:val="00180280"/>
    <w:rsid w:val="00187BA7"/>
    <w:rsid w:val="001A3CC7"/>
    <w:rsid w:val="001B4133"/>
    <w:rsid w:val="001B41B5"/>
    <w:rsid w:val="001C522E"/>
    <w:rsid w:val="001C5A7F"/>
    <w:rsid w:val="001D30EC"/>
    <w:rsid w:val="001D656A"/>
    <w:rsid w:val="001F30E4"/>
    <w:rsid w:val="001F6066"/>
    <w:rsid w:val="00203031"/>
    <w:rsid w:val="00205053"/>
    <w:rsid w:val="00212700"/>
    <w:rsid w:val="00212D1D"/>
    <w:rsid w:val="00225E66"/>
    <w:rsid w:val="0023163C"/>
    <w:rsid w:val="00232284"/>
    <w:rsid w:val="002323F3"/>
    <w:rsid w:val="00243728"/>
    <w:rsid w:val="00243B63"/>
    <w:rsid w:val="002521C2"/>
    <w:rsid w:val="00256F1B"/>
    <w:rsid w:val="00265EE4"/>
    <w:rsid w:val="00270B2A"/>
    <w:rsid w:val="00273049"/>
    <w:rsid w:val="00276FC0"/>
    <w:rsid w:val="00280D56"/>
    <w:rsid w:val="00282C3B"/>
    <w:rsid w:val="00287CF0"/>
    <w:rsid w:val="002A4377"/>
    <w:rsid w:val="002A77EF"/>
    <w:rsid w:val="002B0255"/>
    <w:rsid w:val="002B67B1"/>
    <w:rsid w:val="002C1E44"/>
    <w:rsid w:val="002D234E"/>
    <w:rsid w:val="002E1E47"/>
    <w:rsid w:val="002E2D60"/>
    <w:rsid w:val="002F2186"/>
    <w:rsid w:val="00303CE4"/>
    <w:rsid w:val="003079B0"/>
    <w:rsid w:val="00313188"/>
    <w:rsid w:val="00313F85"/>
    <w:rsid w:val="0031768B"/>
    <w:rsid w:val="00324D8A"/>
    <w:rsid w:val="003267FA"/>
    <w:rsid w:val="00332886"/>
    <w:rsid w:val="0035168D"/>
    <w:rsid w:val="00360633"/>
    <w:rsid w:val="00363FE0"/>
    <w:rsid w:val="00364D55"/>
    <w:rsid w:val="00373264"/>
    <w:rsid w:val="003826B5"/>
    <w:rsid w:val="0039311E"/>
    <w:rsid w:val="003A246C"/>
    <w:rsid w:val="003B25BE"/>
    <w:rsid w:val="003C3313"/>
    <w:rsid w:val="003C419F"/>
    <w:rsid w:val="003C5322"/>
    <w:rsid w:val="003D0F88"/>
    <w:rsid w:val="003D26DF"/>
    <w:rsid w:val="003E0CF7"/>
    <w:rsid w:val="003E1453"/>
    <w:rsid w:val="003E65CA"/>
    <w:rsid w:val="003F05F9"/>
    <w:rsid w:val="00415E18"/>
    <w:rsid w:val="00416611"/>
    <w:rsid w:val="00426DAE"/>
    <w:rsid w:val="00435FC3"/>
    <w:rsid w:val="0043746A"/>
    <w:rsid w:val="004477A8"/>
    <w:rsid w:val="00447EDE"/>
    <w:rsid w:val="00466C62"/>
    <w:rsid w:val="00470A38"/>
    <w:rsid w:val="00476C4E"/>
    <w:rsid w:val="00476EF8"/>
    <w:rsid w:val="00494F29"/>
    <w:rsid w:val="004B02DF"/>
    <w:rsid w:val="004B3C78"/>
    <w:rsid w:val="004B63F6"/>
    <w:rsid w:val="004D1F11"/>
    <w:rsid w:val="004D44B4"/>
    <w:rsid w:val="004D5053"/>
    <w:rsid w:val="00500F63"/>
    <w:rsid w:val="00515ADF"/>
    <w:rsid w:val="00515E64"/>
    <w:rsid w:val="00531BC0"/>
    <w:rsid w:val="005355C3"/>
    <w:rsid w:val="00540B95"/>
    <w:rsid w:val="00545204"/>
    <w:rsid w:val="00545B6B"/>
    <w:rsid w:val="00560BCB"/>
    <w:rsid w:val="005951C1"/>
    <w:rsid w:val="005A7809"/>
    <w:rsid w:val="005D028B"/>
    <w:rsid w:val="005D6F14"/>
    <w:rsid w:val="005E256C"/>
    <w:rsid w:val="005E553B"/>
    <w:rsid w:val="005F3423"/>
    <w:rsid w:val="005F3901"/>
    <w:rsid w:val="005F6105"/>
    <w:rsid w:val="0060373E"/>
    <w:rsid w:val="00623027"/>
    <w:rsid w:val="006233A8"/>
    <w:rsid w:val="00626032"/>
    <w:rsid w:val="00631AC3"/>
    <w:rsid w:val="00634E2E"/>
    <w:rsid w:val="0063535F"/>
    <w:rsid w:val="0064362A"/>
    <w:rsid w:val="0065211C"/>
    <w:rsid w:val="0067058B"/>
    <w:rsid w:val="006746D8"/>
    <w:rsid w:val="006814A4"/>
    <w:rsid w:val="00686B8E"/>
    <w:rsid w:val="00686F2B"/>
    <w:rsid w:val="00690CA6"/>
    <w:rsid w:val="006925AD"/>
    <w:rsid w:val="00697DAF"/>
    <w:rsid w:val="006A6DBF"/>
    <w:rsid w:val="006C0AD2"/>
    <w:rsid w:val="006C3276"/>
    <w:rsid w:val="006D0AA9"/>
    <w:rsid w:val="006D4973"/>
    <w:rsid w:val="006E11F6"/>
    <w:rsid w:val="006E2A6A"/>
    <w:rsid w:val="006E520A"/>
    <w:rsid w:val="006E6F24"/>
    <w:rsid w:val="006F396E"/>
    <w:rsid w:val="006F52A4"/>
    <w:rsid w:val="00700051"/>
    <w:rsid w:val="00707C94"/>
    <w:rsid w:val="00712CDF"/>
    <w:rsid w:val="007130D4"/>
    <w:rsid w:val="007139A0"/>
    <w:rsid w:val="007260DA"/>
    <w:rsid w:val="0072611E"/>
    <w:rsid w:val="007270D4"/>
    <w:rsid w:val="0073005C"/>
    <w:rsid w:val="00731850"/>
    <w:rsid w:val="00735D3C"/>
    <w:rsid w:val="00754AB7"/>
    <w:rsid w:val="0075795F"/>
    <w:rsid w:val="00762E6B"/>
    <w:rsid w:val="007647DF"/>
    <w:rsid w:val="00764BDE"/>
    <w:rsid w:val="00774923"/>
    <w:rsid w:val="00781B63"/>
    <w:rsid w:val="007A78CD"/>
    <w:rsid w:val="007B0B60"/>
    <w:rsid w:val="007B38EB"/>
    <w:rsid w:val="007C1986"/>
    <w:rsid w:val="007D160F"/>
    <w:rsid w:val="007D206C"/>
    <w:rsid w:val="007D6123"/>
    <w:rsid w:val="007D61BD"/>
    <w:rsid w:val="007D6786"/>
    <w:rsid w:val="007E34F7"/>
    <w:rsid w:val="007E3A20"/>
    <w:rsid w:val="007E530F"/>
    <w:rsid w:val="007F1410"/>
    <w:rsid w:val="00805FFD"/>
    <w:rsid w:val="0081355B"/>
    <w:rsid w:val="00815E75"/>
    <w:rsid w:val="00821B56"/>
    <w:rsid w:val="0083085B"/>
    <w:rsid w:val="00833C76"/>
    <w:rsid w:val="00833DCE"/>
    <w:rsid w:val="00843FDC"/>
    <w:rsid w:val="00857864"/>
    <w:rsid w:val="00860B7C"/>
    <w:rsid w:val="0087751F"/>
    <w:rsid w:val="008805EB"/>
    <w:rsid w:val="00884955"/>
    <w:rsid w:val="00896AFE"/>
    <w:rsid w:val="0089729E"/>
    <w:rsid w:val="008A24E4"/>
    <w:rsid w:val="008A4CAF"/>
    <w:rsid w:val="008B36C4"/>
    <w:rsid w:val="008B6BF2"/>
    <w:rsid w:val="008D3C9D"/>
    <w:rsid w:val="008D71C7"/>
    <w:rsid w:val="008E741A"/>
    <w:rsid w:val="008F7ECF"/>
    <w:rsid w:val="009020F4"/>
    <w:rsid w:val="00902AC8"/>
    <w:rsid w:val="00903C4D"/>
    <w:rsid w:val="00912198"/>
    <w:rsid w:val="00912602"/>
    <w:rsid w:val="00915E1C"/>
    <w:rsid w:val="009224F7"/>
    <w:rsid w:val="00924B59"/>
    <w:rsid w:val="00933AE8"/>
    <w:rsid w:val="00952324"/>
    <w:rsid w:val="00961094"/>
    <w:rsid w:val="0096122C"/>
    <w:rsid w:val="0096353F"/>
    <w:rsid w:val="009640A6"/>
    <w:rsid w:val="00970B6E"/>
    <w:rsid w:val="009742D0"/>
    <w:rsid w:val="00975525"/>
    <w:rsid w:val="009756F6"/>
    <w:rsid w:val="00976013"/>
    <w:rsid w:val="009800AE"/>
    <w:rsid w:val="009840DC"/>
    <w:rsid w:val="009842B9"/>
    <w:rsid w:val="009851AD"/>
    <w:rsid w:val="009A1C17"/>
    <w:rsid w:val="009A44AF"/>
    <w:rsid w:val="009A513D"/>
    <w:rsid w:val="009A723B"/>
    <w:rsid w:val="009B3C49"/>
    <w:rsid w:val="009C7164"/>
    <w:rsid w:val="009D136A"/>
    <w:rsid w:val="009D5894"/>
    <w:rsid w:val="009D7F4F"/>
    <w:rsid w:val="009F57BD"/>
    <w:rsid w:val="009F606C"/>
    <w:rsid w:val="00A00399"/>
    <w:rsid w:val="00A05517"/>
    <w:rsid w:val="00A065DA"/>
    <w:rsid w:val="00A14E06"/>
    <w:rsid w:val="00A17012"/>
    <w:rsid w:val="00A24331"/>
    <w:rsid w:val="00A24ED2"/>
    <w:rsid w:val="00A46B25"/>
    <w:rsid w:val="00A55075"/>
    <w:rsid w:val="00A552CE"/>
    <w:rsid w:val="00A64013"/>
    <w:rsid w:val="00A76CC1"/>
    <w:rsid w:val="00A77509"/>
    <w:rsid w:val="00A77C70"/>
    <w:rsid w:val="00A85E47"/>
    <w:rsid w:val="00A86A25"/>
    <w:rsid w:val="00A97732"/>
    <w:rsid w:val="00AA1A6C"/>
    <w:rsid w:val="00AA35F4"/>
    <w:rsid w:val="00AB07FD"/>
    <w:rsid w:val="00AB5ED0"/>
    <w:rsid w:val="00AB630A"/>
    <w:rsid w:val="00AB6DDF"/>
    <w:rsid w:val="00AC5571"/>
    <w:rsid w:val="00AC7520"/>
    <w:rsid w:val="00AE4BA8"/>
    <w:rsid w:val="00B01173"/>
    <w:rsid w:val="00B03B5F"/>
    <w:rsid w:val="00B04DCE"/>
    <w:rsid w:val="00B15139"/>
    <w:rsid w:val="00B2202F"/>
    <w:rsid w:val="00B26B97"/>
    <w:rsid w:val="00B63C54"/>
    <w:rsid w:val="00B74BF6"/>
    <w:rsid w:val="00B852AD"/>
    <w:rsid w:val="00B90DE4"/>
    <w:rsid w:val="00BA295F"/>
    <w:rsid w:val="00BB1A0B"/>
    <w:rsid w:val="00BC1B1B"/>
    <w:rsid w:val="00BC24D3"/>
    <w:rsid w:val="00BE55F6"/>
    <w:rsid w:val="00C00365"/>
    <w:rsid w:val="00C22F86"/>
    <w:rsid w:val="00C30A2B"/>
    <w:rsid w:val="00C32535"/>
    <w:rsid w:val="00C41B02"/>
    <w:rsid w:val="00C61CC3"/>
    <w:rsid w:val="00C745DF"/>
    <w:rsid w:val="00C74CDE"/>
    <w:rsid w:val="00C852D4"/>
    <w:rsid w:val="00C86095"/>
    <w:rsid w:val="00CB230E"/>
    <w:rsid w:val="00CC008C"/>
    <w:rsid w:val="00CC6A8D"/>
    <w:rsid w:val="00CD3FDE"/>
    <w:rsid w:val="00D00F79"/>
    <w:rsid w:val="00D068E4"/>
    <w:rsid w:val="00D07427"/>
    <w:rsid w:val="00D26FEE"/>
    <w:rsid w:val="00D4066B"/>
    <w:rsid w:val="00D412E6"/>
    <w:rsid w:val="00D41DC2"/>
    <w:rsid w:val="00D438E6"/>
    <w:rsid w:val="00D50B3C"/>
    <w:rsid w:val="00D6002A"/>
    <w:rsid w:val="00D61E79"/>
    <w:rsid w:val="00D7112D"/>
    <w:rsid w:val="00D7232F"/>
    <w:rsid w:val="00D72B34"/>
    <w:rsid w:val="00D75DEE"/>
    <w:rsid w:val="00D76309"/>
    <w:rsid w:val="00D96277"/>
    <w:rsid w:val="00DA3E29"/>
    <w:rsid w:val="00DA522B"/>
    <w:rsid w:val="00DA7138"/>
    <w:rsid w:val="00DB034E"/>
    <w:rsid w:val="00DC2497"/>
    <w:rsid w:val="00DC24C2"/>
    <w:rsid w:val="00DC5C0B"/>
    <w:rsid w:val="00DC6A4C"/>
    <w:rsid w:val="00DD15B8"/>
    <w:rsid w:val="00DD370C"/>
    <w:rsid w:val="00DE0CB0"/>
    <w:rsid w:val="00DE2B14"/>
    <w:rsid w:val="00DF1CD8"/>
    <w:rsid w:val="00DF596C"/>
    <w:rsid w:val="00E0724D"/>
    <w:rsid w:val="00E12575"/>
    <w:rsid w:val="00E13CAA"/>
    <w:rsid w:val="00E22CF2"/>
    <w:rsid w:val="00E26902"/>
    <w:rsid w:val="00E44034"/>
    <w:rsid w:val="00E539D2"/>
    <w:rsid w:val="00E6141E"/>
    <w:rsid w:val="00E645BC"/>
    <w:rsid w:val="00E65750"/>
    <w:rsid w:val="00E752FA"/>
    <w:rsid w:val="00E813EA"/>
    <w:rsid w:val="00E862F2"/>
    <w:rsid w:val="00E87D8E"/>
    <w:rsid w:val="00E91C24"/>
    <w:rsid w:val="00E939DA"/>
    <w:rsid w:val="00EA23A4"/>
    <w:rsid w:val="00EB1114"/>
    <w:rsid w:val="00EB58C7"/>
    <w:rsid w:val="00EB66DC"/>
    <w:rsid w:val="00EC6352"/>
    <w:rsid w:val="00ED3CC6"/>
    <w:rsid w:val="00EF17EE"/>
    <w:rsid w:val="00EF5C5E"/>
    <w:rsid w:val="00EF7E22"/>
    <w:rsid w:val="00F03B10"/>
    <w:rsid w:val="00F127A2"/>
    <w:rsid w:val="00F16B03"/>
    <w:rsid w:val="00F23244"/>
    <w:rsid w:val="00F36DB2"/>
    <w:rsid w:val="00F473A0"/>
    <w:rsid w:val="00F7141D"/>
    <w:rsid w:val="00F80BC8"/>
    <w:rsid w:val="00F92BE5"/>
    <w:rsid w:val="00F94C6F"/>
    <w:rsid w:val="00FB27D0"/>
    <w:rsid w:val="00FC35E6"/>
    <w:rsid w:val="00FC49E4"/>
    <w:rsid w:val="00FD3058"/>
    <w:rsid w:val="00FD73AF"/>
    <w:rsid w:val="00FD7C10"/>
    <w:rsid w:val="00FE12EE"/>
    <w:rsid w:val="00FF3732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267F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F16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E1138-CA6B-455C-A019-4B0CEB98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3083</TotalTime>
  <Pages>5</Pages>
  <Words>1775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Aguiar de Moraes</dc:creator>
  <cp:keywords/>
  <cp:lastModifiedBy>Tiago Pires Fidelis da Luz</cp:lastModifiedBy>
  <cp:revision>15</cp:revision>
  <cp:lastPrinted>1995-11-21T19:41:00Z</cp:lastPrinted>
  <dcterms:created xsi:type="dcterms:W3CDTF">2023-07-04T16:30:00Z</dcterms:created>
  <dcterms:modified xsi:type="dcterms:W3CDTF">2023-08-10T13:30:00Z</dcterms:modified>
</cp:coreProperties>
</file>